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7"/>
        </w:rPr>
      </w:pPr>
    </w:p>
    <w:p>
      <w:pPr>
        <w:pStyle w:val="BodyText"/>
        <w:ind w:left="220"/>
        <w:rPr>
          <w:rFonts w:ascii="Times New Roman"/>
          <w:sz w:val="20"/>
        </w:rPr>
      </w:pPr>
      <w:r>
        <w:rPr>
          <w:rFonts w:ascii="Times New Roman"/>
          <w:sz w:val="20"/>
        </w:rPr>
        <w:drawing>
          <wp:inline distT="0" distB="0" distL="0" distR="0">
            <wp:extent cx="5925916" cy="1149096"/>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925916" cy="114909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rPr>
      </w:pPr>
    </w:p>
    <w:p>
      <w:pPr>
        <w:spacing w:line="834" w:lineRule="exact" w:before="0"/>
        <w:ind w:left="535" w:right="874" w:firstLine="0"/>
        <w:jc w:val="center"/>
        <w:rPr>
          <w:b/>
          <w:sz w:val="72"/>
        </w:rPr>
      </w:pPr>
      <w:r>
        <w:rPr>
          <w:b/>
          <w:color w:val="000099"/>
          <w:sz w:val="72"/>
        </w:rPr>
        <w:t>2025-2029 Consolidated Plan</w:t>
      </w:r>
    </w:p>
    <w:p>
      <w:pPr>
        <w:spacing w:before="332"/>
        <w:ind w:left="535" w:right="874" w:firstLine="0"/>
        <w:jc w:val="center"/>
        <w:rPr>
          <w:b/>
          <w:sz w:val="72"/>
        </w:rPr>
      </w:pPr>
      <w:r>
        <w:rPr>
          <w:b/>
          <w:color w:val="000099"/>
          <w:sz w:val="72"/>
        </w:rPr>
        <w:t>2025 Annual Action Plan</w:t>
      </w:r>
    </w:p>
    <w:p>
      <w:pPr>
        <w:pStyle w:val="BodyText"/>
        <w:rPr>
          <w:b/>
          <w:sz w:val="72"/>
        </w:rPr>
      </w:pPr>
    </w:p>
    <w:p>
      <w:pPr>
        <w:pStyle w:val="BodyText"/>
        <w:spacing w:before="11"/>
        <w:rPr>
          <w:b/>
          <w:sz w:val="60"/>
        </w:rPr>
      </w:pPr>
    </w:p>
    <w:p>
      <w:pPr>
        <w:pStyle w:val="Heading2"/>
        <w:spacing w:before="0"/>
      </w:pPr>
      <w:r>
        <w:rPr/>
        <w:t>Draft for Client Review</w:t>
      </w:r>
    </w:p>
    <w:p>
      <w:pPr>
        <w:spacing w:after="0"/>
        <w:sectPr>
          <w:headerReference w:type="default" r:id="rId5"/>
          <w:footerReference w:type="default" r:id="rId6"/>
          <w:type w:val="continuous"/>
          <w:pgSz w:w="12240" w:h="15840"/>
          <w:pgMar w:header="769" w:footer="1321" w:top="1340" w:bottom="1520" w:left="1220" w:right="880"/>
          <w:pgNumType w:start="1"/>
        </w:sectPr>
      </w:pPr>
    </w:p>
    <w:p>
      <w:pPr>
        <w:pStyle w:val="BodyText"/>
        <w:rPr>
          <w:sz w:val="20"/>
        </w:rPr>
      </w:pPr>
    </w:p>
    <w:p>
      <w:pPr>
        <w:pStyle w:val="BodyText"/>
        <w:spacing w:before="2"/>
        <w:rPr>
          <w:sz w:val="29"/>
        </w:rPr>
      </w:pPr>
    </w:p>
    <w:tbl>
      <w:tblPr>
        <w:tblW w:w="0" w:type="auto"/>
        <w:jc w:val="left"/>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87"/>
        <w:gridCol w:w="1063"/>
      </w:tblGrid>
      <w:tr>
        <w:trPr>
          <w:trHeight w:val="359" w:hRule="atLeast"/>
        </w:trPr>
        <w:tc>
          <w:tcPr>
            <w:tcW w:w="8387" w:type="dxa"/>
          </w:tcPr>
          <w:p>
            <w:pPr>
              <w:pStyle w:val="TableParagraph"/>
              <w:spacing w:line="326" w:lineRule="exact"/>
              <w:ind w:left="50"/>
              <w:rPr>
                <w:sz w:val="32"/>
              </w:rPr>
            </w:pPr>
            <w:r>
              <w:rPr>
                <w:color w:val="365E90"/>
                <w:sz w:val="32"/>
              </w:rPr>
              <w:t>Table of Contents</w:t>
            </w:r>
          </w:p>
        </w:tc>
        <w:tc>
          <w:tcPr>
            <w:tcW w:w="1063" w:type="dxa"/>
          </w:tcPr>
          <w:p>
            <w:pPr>
              <w:pStyle w:val="TableParagraph"/>
              <w:rPr>
                <w:rFonts w:ascii="Times New Roman"/>
                <w:sz w:val="20"/>
              </w:rPr>
            </w:pPr>
          </w:p>
        </w:tc>
      </w:tr>
      <w:tr>
        <w:trPr>
          <w:trHeight w:val="354" w:hRule="atLeast"/>
        </w:trPr>
        <w:tc>
          <w:tcPr>
            <w:tcW w:w="8387" w:type="dxa"/>
          </w:tcPr>
          <w:p>
            <w:pPr>
              <w:pStyle w:val="TableParagraph"/>
              <w:spacing w:line="264" w:lineRule="exact"/>
              <w:ind w:left="50"/>
              <w:rPr>
                <w:sz w:val="22"/>
              </w:rPr>
            </w:pPr>
            <w:r>
              <w:rPr>
                <w:sz w:val="22"/>
              </w:rPr>
              <w:t>Executive Summary</w:t>
            </w:r>
          </w:p>
        </w:tc>
        <w:tc>
          <w:tcPr>
            <w:tcW w:w="1063" w:type="dxa"/>
          </w:tcPr>
          <w:p>
            <w:pPr>
              <w:pStyle w:val="TableParagraph"/>
              <w:spacing w:line="264" w:lineRule="exact"/>
              <w:ind w:right="48"/>
              <w:jc w:val="right"/>
              <w:rPr>
                <w:sz w:val="22"/>
              </w:rPr>
            </w:pPr>
            <w:r>
              <w:rPr>
                <w:sz w:val="22"/>
              </w:rPr>
              <w:t>5</w:t>
            </w:r>
          </w:p>
        </w:tc>
      </w:tr>
      <w:tr>
        <w:trPr>
          <w:trHeight w:val="408" w:hRule="atLeast"/>
        </w:trPr>
        <w:tc>
          <w:tcPr>
            <w:tcW w:w="8387" w:type="dxa"/>
          </w:tcPr>
          <w:p>
            <w:pPr>
              <w:pStyle w:val="TableParagraph"/>
              <w:spacing w:before="50"/>
              <w:ind w:left="270"/>
              <w:rPr>
                <w:sz w:val="22"/>
              </w:rPr>
            </w:pPr>
            <w:r>
              <w:rPr>
                <w:sz w:val="22"/>
              </w:rPr>
              <w:t>ES-05 Executive Summary - 24 CFR 91.200(c), 91.220(b)</w:t>
            </w:r>
          </w:p>
        </w:tc>
        <w:tc>
          <w:tcPr>
            <w:tcW w:w="1063" w:type="dxa"/>
          </w:tcPr>
          <w:p>
            <w:pPr>
              <w:pStyle w:val="TableParagraph"/>
              <w:spacing w:before="50"/>
              <w:ind w:right="48"/>
              <w:jc w:val="right"/>
              <w:rPr>
                <w:sz w:val="22"/>
              </w:rPr>
            </w:pPr>
            <w:r>
              <w:rPr>
                <w:sz w:val="22"/>
              </w:rPr>
              <w:t>5</w:t>
            </w:r>
          </w:p>
        </w:tc>
      </w:tr>
      <w:tr>
        <w:trPr>
          <w:trHeight w:val="408" w:hRule="atLeast"/>
        </w:trPr>
        <w:tc>
          <w:tcPr>
            <w:tcW w:w="8387" w:type="dxa"/>
          </w:tcPr>
          <w:p>
            <w:pPr>
              <w:pStyle w:val="TableParagraph"/>
              <w:spacing w:before="50"/>
              <w:ind w:left="50"/>
              <w:rPr>
                <w:sz w:val="22"/>
              </w:rPr>
            </w:pPr>
            <w:r>
              <w:rPr>
                <w:sz w:val="22"/>
              </w:rPr>
              <w:t>The Process</w:t>
            </w:r>
          </w:p>
        </w:tc>
        <w:tc>
          <w:tcPr>
            <w:tcW w:w="1063" w:type="dxa"/>
          </w:tcPr>
          <w:p>
            <w:pPr>
              <w:pStyle w:val="TableParagraph"/>
              <w:spacing w:before="50"/>
              <w:ind w:right="48"/>
              <w:jc w:val="right"/>
              <w:rPr>
                <w:sz w:val="22"/>
              </w:rPr>
            </w:pPr>
            <w:r>
              <w:rPr>
                <w:sz w:val="22"/>
              </w:rPr>
              <w:t>6</w:t>
            </w:r>
          </w:p>
        </w:tc>
      </w:tr>
      <w:tr>
        <w:trPr>
          <w:trHeight w:val="408" w:hRule="atLeast"/>
        </w:trPr>
        <w:tc>
          <w:tcPr>
            <w:tcW w:w="8387" w:type="dxa"/>
          </w:tcPr>
          <w:p>
            <w:pPr>
              <w:pStyle w:val="TableParagraph"/>
              <w:spacing w:before="50"/>
              <w:ind w:left="270"/>
              <w:rPr>
                <w:sz w:val="22"/>
              </w:rPr>
            </w:pPr>
            <w:r>
              <w:rPr>
                <w:sz w:val="22"/>
              </w:rPr>
              <w:t>PR-05 Lead &amp; Responsible Agencies 24 CFR 91.200(b)</w:t>
            </w:r>
          </w:p>
        </w:tc>
        <w:tc>
          <w:tcPr>
            <w:tcW w:w="1063" w:type="dxa"/>
          </w:tcPr>
          <w:p>
            <w:pPr>
              <w:pStyle w:val="TableParagraph"/>
              <w:spacing w:before="50"/>
              <w:ind w:right="48"/>
              <w:jc w:val="right"/>
              <w:rPr>
                <w:sz w:val="22"/>
              </w:rPr>
            </w:pPr>
            <w:r>
              <w:rPr>
                <w:sz w:val="22"/>
              </w:rPr>
              <w:t>6</w:t>
            </w:r>
          </w:p>
        </w:tc>
      </w:tr>
      <w:tr>
        <w:trPr>
          <w:trHeight w:val="408" w:hRule="atLeast"/>
        </w:trPr>
        <w:tc>
          <w:tcPr>
            <w:tcW w:w="8387" w:type="dxa"/>
          </w:tcPr>
          <w:p>
            <w:pPr>
              <w:pStyle w:val="TableParagraph"/>
              <w:spacing w:before="50"/>
              <w:ind w:right="788"/>
              <w:jc w:val="right"/>
              <w:rPr>
                <w:sz w:val="22"/>
              </w:rPr>
            </w:pPr>
            <w:r>
              <w:rPr>
                <w:sz w:val="22"/>
              </w:rPr>
              <w:t>PR-10 Consultation – 91.100, 91.110, 91.200(b), 91.300(b), 91.215(I) and 91.315(I)</w:t>
            </w:r>
          </w:p>
        </w:tc>
        <w:tc>
          <w:tcPr>
            <w:tcW w:w="1063" w:type="dxa"/>
          </w:tcPr>
          <w:p>
            <w:pPr>
              <w:pStyle w:val="TableParagraph"/>
              <w:spacing w:before="50"/>
              <w:ind w:right="48"/>
              <w:jc w:val="right"/>
              <w:rPr>
                <w:sz w:val="22"/>
              </w:rPr>
            </w:pPr>
            <w:r>
              <w:rPr>
                <w:sz w:val="22"/>
              </w:rPr>
              <w:t>7</w:t>
            </w:r>
          </w:p>
        </w:tc>
      </w:tr>
      <w:tr>
        <w:trPr>
          <w:trHeight w:val="408" w:hRule="atLeast"/>
        </w:trPr>
        <w:tc>
          <w:tcPr>
            <w:tcW w:w="8387" w:type="dxa"/>
          </w:tcPr>
          <w:p>
            <w:pPr>
              <w:pStyle w:val="TableParagraph"/>
              <w:spacing w:before="50"/>
              <w:ind w:left="270"/>
              <w:rPr>
                <w:sz w:val="22"/>
              </w:rPr>
            </w:pPr>
            <w:r>
              <w:rPr>
                <w:sz w:val="22"/>
              </w:rPr>
              <w:t>PR-15 Citizen Participation – 91.105, 91.115, 91.200(c) and 91.300(c)</w:t>
            </w:r>
          </w:p>
        </w:tc>
        <w:tc>
          <w:tcPr>
            <w:tcW w:w="1063" w:type="dxa"/>
          </w:tcPr>
          <w:p>
            <w:pPr>
              <w:pStyle w:val="TableParagraph"/>
              <w:spacing w:before="50"/>
              <w:ind w:right="48"/>
              <w:jc w:val="right"/>
              <w:rPr>
                <w:sz w:val="22"/>
              </w:rPr>
            </w:pPr>
            <w:r>
              <w:rPr>
                <w:sz w:val="22"/>
              </w:rPr>
              <w:t>1</w:t>
            </w:r>
          </w:p>
        </w:tc>
      </w:tr>
      <w:tr>
        <w:trPr>
          <w:trHeight w:val="408" w:hRule="atLeast"/>
        </w:trPr>
        <w:tc>
          <w:tcPr>
            <w:tcW w:w="8387" w:type="dxa"/>
          </w:tcPr>
          <w:p>
            <w:pPr>
              <w:pStyle w:val="TableParagraph"/>
              <w:spacing w:before="50"/>
              <w:ind w:left="50"/>
              <w:rPr>
                <w:sz w:val="22"/>
              </w:rPr>
            </w:pPr>
            <w:r>
              <w:rPr>
                <w:sz w:val="22"/>
              </w:rPr>
              <w:t>Needs Assessment</w:t>
            </w:r>
          </w:p>
        </w:tc>
        <w:tc>
          <w:tcPr>
            <w:tcW w:w="1063" w:type="dxa"/>
          </w:tcPr>
          <w:p>
            <w:pPr>
              <w:pStyle w:val="TableParagraph"/>
              <w:spacing w:before="50"/>
              <w:ind w:right="48"/>
              <w:jc w:val="right"/>
              <w:rPr>
                <w:sz w:val="22"/>
              </w:rPr>
            </w:pPr>
            <w:r>
              <w:rPr>
                <w:sz w:val="22"/>
              </w:rPr>
              <w:t>2</w:t>
            </w:r>
          </w:p>
        </w:tc>
      </w:tr>
      <w:tr>
        <w:trPr>
          <w:trHeight w:val="408" w:hRule="atLeast"/>
        </w:trPr>
        <w:tc>
          <w:tcPr>
            <w:tcW w:w="8387" w:type="dxa"/>
          </w:tcPr>
          <w:p>
            <w:pPr>
              <w:pStyle w:val="TableParagraph"/>
              <w:spacing w:before="50"/>
              <w:ind w:left="270"/>
              <w:rPr>
                <w:sz w:val="22"/>
              </w:rPr>
            </w:pPr>
            <w:r>
              <w:rPr>
                <w:sz w:val="22"/>
              </w:rPr>
              <w:t>NA-05 Overview</w:t>
            </w:r>
          </w:p>
        </w:tc>
        <w:tc>
          <w:tcPr>
            <w:tcW w:w="1063" w:type="dxa"/>
          </w:tcPr>
          <w:p>
            <w:pPr>
              <w:pStyle w:val="TableParagraph"/>
              <w:spacing w:before="50"/>
              <w:ind w:right="48"/>
              <w:jc w:val="right"/>
              <w:rPr>
                <w:sz w:val="22"/>
              </w:rPr>
            </w:pPr>
            <w:r>
              <w:rPr>
                <w:sz w:val="22"/>
              </w:rPr>
              <w:t>2</w:t>
            </w:r>
          </w:p>
        </w:tc>
      </w:tr>
      <w:tr>
        <w:trPr>
          <w:trHeight w:val="408" w:hRule="atLeast"/>
        </w:trPr>
        <w:tc>
          <w:tcPr>
            <w:tcW w:w="8387" w:type="dxa"/>
          </w:tcPr>
          <w:p>
            <w:pPr>
              <w:pStyle w:val="TableParagraph"/>
              <w:spacing w:before="50"/>
              <w:ind w:left="270"/>
              <w:rPr>
                <w:sz w:val="22"/>
              </w:rPr>
            </w:pPr>
            <w:r>
              <w:rPr>
                <w:sz w:val="22"/>
              </w:rPr>
              <w:t>NA-10 Housing Needs Assessment - 24 CFR 91.205 (a,b,c)</w:t>
            </w:r>
          </w:p>
        </w:tc>
        <w:tc>
          <w:tcPr>
            <w:tcW w:w="1063" w:type="dxa"/>
          </w:tcPr>
          <w:p>
            <w:pPr>
              <w:pStyle w:val="TableParagraph"/>
              <w:spacing w:before="50"/>
              <w:ind w:right="48"/>
              <w:jc w:val="right"/>
              <w:rPr>
                <w:sz w:val="22"/>
              </w:rPr>
            </w:pPr>
            <w:r>
              <w:rPr>
                <w:sz w:val="22"/>
              </w:rPr>
              <w:t>3</w:t>
            </w:r>
          </w:p>
        </w:tc>
      </w:tr>
      <w:tr>
        <w:trPr>
          <w:trHeight w:val="408" w:hRule="atLeast"/>
        </w:trPr>
        <w:tc>
          <w:tcPr>
            <w:tcW w:w="8387" w:type="dxa"/>
          </w:tcPr>
          <w:p>
            <w:pPr>
              <w:pStyle w:val="TableParagraph"/>
              <w:spacing w:before="50"/>
              <w:ind w:left="270"/>
              <w:rPr>
                <w:sz w:val="22"/>
              </w:rPr>
            </w:pPr>
            <w:r>
              <w:rPr>
                <w:sz w:val="22"/>
              </w:rPr>
              <w:t>NA-15 Disproportionately Greater Need: Housing Problems – 91.205 (b)(2)</w:t>
            </w:r>
          </w:p>
        </w:tc>
        <w:tc>
          <w:tcPr>
            <w:tcW w:w="1063" w:type="dxa"/>
          </w:tcPr>
          <w:p>
            <w:pPr>
              <w:pStyle w:val="TableParagraph"/>
              <w:spacing w:before="50"/>
              <w:ind w:right="49"/>
              <w:jc w:val="right"/>
              <w:rPr>
                <w:sz w:val="22"/>
              </w:rPr>
            </w:pPr>
            <w:r>
              <w:rPr>
                <w:sz w:val="22"/>
              </w:rPr>
              <w:t>12</w:t>
            </w:r>
          </w:p>
        </w:tc>
      </w:tr>
      <w:tr>
        <w:trPr>
          <w:trHeight w:val="408" w:hRule="atLeast"/>
        </w:trPr>
        <w:tc>
          <w:tcPr>
            <w:tcW w:w="8387" w:type="dxa"/>
          </w:tcPr>
          <w:p>
            <w:pPr>
              <w:pStyle w:val="TableParagraph"/>
              <w:spacing w:before="50"/>
              <w:ind w:right="809"/>
              <w:jc w:val="right"/>
              <w:rPr>
                <w:sz w:val="22"/>
              </w:rPr>
            </w:pPr>
            <w:r>
              <w:rPr>
                <w:sz w:val="22"/>
              </w:rPr>
              <w:t>NA-20 Disproportionately Greater Need: Severe Housing Problems – 91.205 (b)(2)</w:t>
            </w:r>
          </w:p>
        </w:tc>
        <w:tc>
          <w:tcPr>
            <w:tcW w:w="1063" w:type="dxa"/>
          </w:tcPr>
          <w:p>
            <w:pPr>
              <w:pStyle w:val="TableParagraph"/>
              <w:spacing w:before="50"/>
              <w:ind w:right="49"/>
              <w:jc w:val="right"/>
              <w:rPr>
                <w:sz w:val="22"/>
              </w:rPr>
            </w:pPr>
            <w:r>
              <w:rPr>
                <w:sz w:val="22"/>
              </w:rPr>
              <w:t>17</w:t>
            </w:r>
          </w:p>
        </w:tc>
      </w:tr>
      <w:tr>
        <w:trPr>
          <w:trHeight w:val="408" w:hRule="atLeast"/>
        </w:trPr>
        <w:tc>
          <w:tcPr>
            <w:tcW w:w="8387" w:type="dxa"/>
          </w:tcPr>
          <w:p>
            <w:pPr>
              <w:pStyle w:val="TableParagraph"/>
              <w:spacing w:before="50"/>
              <w:ind w:left="270"/>
              <w:rPr>
                <w:sz w:val="22"/>
              </w:rPr>
            </w:pPr>
            <w:r>
              <w:rPr>
                <w:sz w:val="22"/>
              </w:rPr>
              <w:t>NA-25 Disproportionately Greater Need: Housing Cost Burdens – 91.205 (b)(2)</w:t>
            </w:r>
          </w:p>
        </w:tc>
        <w:tc>
          <w:tcPr>
            <w:tcW w:w="1063" w:type="dxa"/>
          </w:tcPr>
          <w:p>
            <w:pPr>
              <w:pStyle w:val="TableParagraph"/>
              <w:spacing w:before="50"/>
              <w:ind w:right="49"/>
              <w:jc w:val="right"/>
              <w:rPr>
                <w:sz w:val="22"/>
              </w:rPr>
            </w:pPr>
            <w:r>
              <w:rPr>
                <w:sz w:val="22"/>
              </w:rPr>
              <w:t>21</w:t>
            </w:r>
          </w:p>
        </w:tc>
      </w:tr>
      <w:tr>
        <w:trPr>
          <w:trHeight w:val="408" w:hRule="atLeast"/>
        </w:trPr>
        <w:tc>
          <w:tcPr>
            <w:tcW w:w="8387" w:type="dxa"/>
          </w:tcPr>
          <w:p>
            <w:pPr>
              <w:pStyle w:val="TableParagraph"/>
              <w:spacing w:before="50"/>
              <w:ind w:left="270"/>
              <w:rPr>
                <w:sz w:val="22"/>
              </w:rPr>
            </w:pPr>
            <w:r>
              <w:rPr>
                <w:sz w:val="22"/>
              </w:rPr>
              <w:t>NA-30 Disproportionately Greater Need: Discussion – 91.205(b)(2)</w:t>
            </w:r>
          </w:p>
        </w:tc>
        <w:tc>
          <w:tcPr>
            <w:tcW w:w="1063" w:type="dxa"/>
          </w:tcPr>
          <w:p>
            <w:pPr>
              <w:pStyle w:val="TableParagraph"/>
              <w:spacing w:before="50"/>
              <w:ind w:right="49"/>
              <w:jc w:val="right"/>
              <w:rPr>
                <w:sz w:val="22"/>
              </w:rPr>
            </w:pPr>
            <w:r>
              <w:rPr>
                <w:sz w:val="22"/>
              </w:rPr>
              <w:t>23</w:t>
            </w:r>
          </w:p>
        </w:tc>
      </w:tr>
      <w:tr>
        <w:trPr>
          <w:trHeight w:val="408" w:hRule="atLeast"/>
        </w:trPr>
        <w:tc>
          <w:tcPr>
            <w:tcW w:w="8387" w:type="dxa"/>
          </w:tcPr>
          <w:p>
            <w:pPr>
              <w:pStyle w:val="TableParagraph"/>
              <w:spacing w:before="50"/>
              <w:ind w:left="270"/>
              <w:rPr>
                <w:sz w:val="22"/>
              </w:rPr>
            </w:pPr>
            <w:r>
              <w:rPr>
                <w:sz w:val="22"/>
              </w:rPr>
              <w:t>NA-35 Public Housing – 91.205(b)</w:t>
            </w:r>
          </w:p>
        </w:tc>
        <w:tc>
          <w:tcPr>
            <w:tcW w:w="1063" w:type="dxa"/>
          </w:tcPr>
          <w:p>
            <w:pPr>
              <w:pStyle w:val="TableParagraph"/>
              <w:spacing w:before="50"/>
              <w:ind w:right="49"/>
              <w:jc w:val="right"/>
              <w:rPr>
                <w:sz w:val="22"/>
              </w:rPr>
            </w:pPr>
            <w:r>
              <w:rPr>
                <w:sz w:val="22"/>
              </w:rPr>
              <w:t>25</w:t>
            </w:r>
          </w:p>
        </w:tc>
      </w:tr>
      <w:tr>
        <w:trPr>
          <w:trHeight w:val="408" w:hRule="atLeast"/>
        </w:trPr>
        <w:tc>
          <w:tcPr>
            <w:tcW w:w="8387" w:type="dxa"/>
          </w:tcPr>
          <w:p>
            <w:pPr>
              <w:pStyle w:val="TableParagraph"/>
              <w:spacing w:before="50"/>
              <w:ind w:left="270"/>
              <w:rPr>
                <w:sz w:val="22"/>
              </w:rPr>
            </w:pPr>
            <w:r>
              <w:rPr>
                <w:sz w:val="22"/>
              </w:rPr>
              <w:t>NA-40 Homeless Needs Assessment – 91.205(c)</w:t>
            </w:r>
          </w:p>
        </w:tc>
        <w:tc>
          <w:tcPr>
            <w:tcW w:w="1063" w:type="dxa"/>
          </w:tcPr>
          <w:p>
            <w:pPr>
              <w:pStyle w:val="TableParagraph"/>
              <w:spacing w:before="50"/>
              <w:ind w:right="49"/>
              <w:jc w:val="right"/>
              <w:rPr>
                <w:sz w:val="22"/>
              </w:rPr>
            </w:pPr>
            <w:r>
              <w:rPr>
                <w:sz w:val="22"/>
              </w:rPr>
              <w:t>30</w:t>
            </w:r>
          </w:p>
        </w:tc>
      </w:tr>
      <w:tr>
        <w:trPr>
          <w:trHeight w:val="408" w:hRule="atLeast"/>
        </w:trPr>
        <w:tc>
          <w:tcPr>
            <w:tcW w:w="8387" w:type="dxa"/>
          </w:tcPr>
          <w:p>
            <w:pPr>
              <w:pStyle w:val="TableParagraph"/>
              <w:spacing w:before="50"/>
              <w:ind w:left="270"/>
              <w:rPr>
                <w:sz w:val="22"/>
              </w:rPr>
            </w:pPr>
            <w:r>
              <w:rPr>
                <w:sz w:val="22"/>
              </w:rPr>
              <w:t>NA-45 Non-Homeless Special Needs Assessment - 91.205 (b,d)</w:t>
            </w:r>
          </w:p>
        </w:tc>
        <w:tc>
          <w:tcPr>
            <w:tcW w:w="1063" w:type="dxa"/>
          </w:tcPr>
          <w:p>
            <w:pPr>
              <w:pStyle w:val="TableParagraph"/>
              <w:spacing w:before="50"/>
              <w:ind w:right="49"/>
              <w:jc w:val="right"/>
              <w:rPr>
                <w:sz w:val="22"/>
              </w:rPr>
            </w:pPr>
            <w:r>
              <w:rPr>
                <w:sz w:val="22"/>
              </w:rPr>
              <w:t>34</w:t>
            </w:r>
          </w:p>
        </w:tc>
      </w:tr>
      <w:tr>
        <w:trPr>
          <w:trHeight w:val="408" w:hRule="atLeast"/>
        </w:trPr>
        <w:tc>
          <w:tcPr>
            <w:tcW w:w="8387" w:type="dxa"/>
          </w:tcPr>
          <w:p>
            <w:pPr>
              <w:pStyle w:val="TableParagraph"/>
              <w:spacing w:before="50"/>
              <w:ind w:left="270"/>
              <w:rPr>
                <w:sz w:val="22"/>
              </w:rPr>
            </w:pPr>
            <w:r>
              <w:rPr>
                <w:sz w:val="22"/>
              </w:rPr>
              <w:t>NA-50 Non-Housing Community Development Needs – 91.215 (f)</w:t>
            </w:r>
          </w:p>
        </w:tc>
        <w:tc>
          <w:tcPr>
            <w:tcW w:w="1063" w:type="dxa"/>
          </w:tcPr>
          <w:p>
            <w:pPr>
              <w:pStyle w:val="TableParagraph"/>
              <w:spacing w:before="50"/>
              <w:ind w:right="49"/>
              <w:jc w:val="right"/>
              <w:rPr>
                <w:sz w:val="22"/>
              </w:rPr>
            </w:pPr>
            <w:r>
              <w:rPr>
                <w:sz w:val="22"/>
              </w:rPr>
              <w:t>36</w:t>
            </w:r>
          </w:p>
        </w:tc>
      </w:tr>
      <w:tr>
        <w:trPr>
          <w:trHeight w:val="408" w:hRule="atLeast"/>
        </w:trPr>
        <w:tc>
          <w:tcPr>
            <w:tcW w:w="8387" w:type="dxa"/>
          </w:tcPr>
          <w:p>
            <w:pPr>
              <w:pStyle w:val="TableParagraph"/>
              <w:spacing w:before="50"/>
              <w:ind w:left="50"/>
              <w:rPr>
                <w:sz w:val="22"/>
              </w:rPr>
            </w:pPr>
            <w:r>
              <w:rPr>
                <w:sz w:val="22"/>
              </w:rPr>
              <w:t>Housing Market Analysis</w:t>
            </w:r>
          </w:p>
        </w:tc>
        <w:tc>
          <w:tcPr>
            <w:tcW w:w="1063" w:type="dxa"/>
          </w:tcPr>
          <w:p>
            <w:pPr>
              <w:pStyle w:val="TableParagraph"/>
              <w:spacing w:before="50"/>
              <w:ind w:right="49"/>
              <w:jc w:val="right"/>
              <w:rPr>
                <w:sz w:val="22"/>
              </w:rPr>
            </w:pPr>
            <w:r>
              <w:rPr>
                <w:sz w:val="22"/>
              </w:rPr>
              <w:t>38</w:t>
            </w:r>
          </w:p>
        </w:tc>
      </w:tr>
      <w:tr>
        <w:trPr>
          <w:trHeight w:val="408" w:hRule="atLeast"/>
        </w:trPr>
        <w:tc>
          <w:tcPr>
            <w:tcW w:w="8387" w:type="dxa"/>
          </w:tcPr>
          <w:p>
            <w:pPr>
              <w:pStyle w:val="TableParagraph"/>
              <w:spacing w:before="50"/>
              <w:ind w:left="270"/>
              <w:rPr>
                <w:sz w:val="22"/>
              </w:rPr>
            </w:pPr>
            <w:r>
              <w:rPr>
                <w:sz w:val="22"/>
              </w:rPr>
              <w:t>MA-05 Overview</w:t>
            </w:r>
          </w:p>
        </w:tc>
        <w:tc>
          <w:tcPr>
            <w:tcW w:w="1063" w:type="dxa"/>
          </w:tcPr>
          <w:p>
            <w:pPr>
              <w:pStyle w:val="TableParagraph"/>
              <w:spacing w:before="50"/>
              <w:ind w:right="49"/>
              <w:jc w:val="right"/>
              <w:rPr>
                <w:sz w:val="22"/>
              </w:rPr>
            </w:pPr>
            <w:r>
              <w:rPr>
                <w:sz w:val="22"/>
              </w:rPr>
              <w:t>38</w:t>
            </w:r>
          </w:p>
        </w:tc>
      </w:tr>
      <w:tr>
        <w:trPr>
          <w:trHeight w:val="408" w:hRule="atLeast"/>
        </w:trPr>
        <w:tc>
          <w:tcPr>
            <w:tcW w:w="8387" w:type="dxa"/>
          </w:tcPr>
          <w:p>
            <w:pPr>
              <w:pStyle w:val="TableParagraph"/>
              <w:spacing w:before="50"/>
              <w:ind w:left="270"/>
              <w:rPr>
                <w:sz w:val="22"/>
              </w:rPr>
            </w:pPr>
            <w:r>
              <w:rPr>
                <w:sz w:val="22"/>
              </w:rPr>
              <w:t>MA-10 Number of Housing Units – 91.210(a)&amp;(b)(2)</w:t>
            </w:r>
          </w:p>
        </w:tc>
        <w:tc>
          <w:tcPr>
            <w:tcW w:w="1063" w:type="dxa"/>
          </w:tcPr>
          <w:p>
            <w:pPr>
              <w:pStyle w:val="TableParagraph"/>
              <w:spacing w:before="50"/>
              <w:ind w:right="49"/>
              <w:jc w:val="right"/>
              <w:rPr>
                <w:sz w:val="22"/>
              </w:rPr>
            </w:pPr>
            <w:r>
              <w:rPr>
                <w:sz w:val="22"/>
              </w:rPr>
              <w:t>39</w:t>
            </w:r>
          </w:p>
        </w:tc>
      </w:tr>
      <w:tr>
        <w:trPr>
          <w:trHeight w:val="408" w:hRule="atLeast"/>
        </w:trPr>
        <w:tc>
          <w:tcPr>
            <w:tcW w:w="8387" w:type="dxa"/>
          </w:tcPr>
          <w:p>
            <w:pPr>
              <w:pStyle w:val="TableParagraph"/>
              <w:spacing w:before="50"/>
              <w:ind w:left="270"/>
              <w:rPr>
                <w:sz w:val="22"/>
              </w:rPr>
            </w:pPr>
            <w:r>
              <w:rPr>
                <w:sz w:val="22"/>
              </w:rPr>
              <w:t>MA-15 Housing Market Analysis: Cost of Housing - 91.210(a)</w:t>
            </w:r>
          </w:p>
        </w:tc>
        <w:tc>
          <w:tcPr>
            <w:tcW w:w="1063" w:type="dxa"/>
          </w:tcPr>
          <w:p>
            <w:pPr>
              <w:pStyle w:val="TableParagraph"/>
              <w:spacing w:before="50"/>
              <w:ind w:right="49"/>
              <w:jc w:val="right"/>
              <w:rPr>
                <w:sz w:val="22"/>
              </w:rPr>
            </w:pPr>
            <w:r>
              <w:rPr>
                <w:sz w:val="22"/>
              </w:rPr>
              <w:t>43</w:t>
            </w:r>
          </w:p>
        </w:tc>
      </w:tr>
      <w:tr>
        <w:trPr>
          <w:trHeight w:val="408" w:hRule="atLeast"/>
        </w:trPr>
        <w:tc>
          <w:tcPr>
            <w:tcW w:w="8387" w:type="dxa"/>
          </w:tcPr>
          <w:p>
            <w:pPr>
              <w:pStyle w:val="TableParagraph"/>
              <w:spacing w:before="50"/>
              <w:ind w:left="270"/>
              <w:rPr>
                <w:sz w:val="22"/>
              </w:rPr>
            </w:pPr>
            <w:r>
              <w:rPr>
                <w:sz w:val="22"/>
              </w:rPr>
              <w:t>MA-20 Housing Market Analysis: Condition of Housing – 91.210(a)</w:t>
            </w:r>
          </w:p>
        </w:tc>
        <w:tc>
          <w:tcPr>
            <w:tcW w:w="1063" w:type="dxa"/>
          </w:tcPr>
          <w:p>
            <w:pPr>
              <w:pStyle w:val="TableParagraph"/>
              <w:spacing w:before="50"/>
              <w:ind w:right="49"/>
              <w:jc w:val="right"/>
              <w:rPr>
                <w:sz w:val="22"/>
              </w:rPr>
            </w:pPr>
            <w:r>
              <w:rPr>
                <w:sz w:val="22"/>
              </w:rPr>
              <w:t>46</w:t>
            </w:r>
          </w:p>
        </w:tc>
      </w:tr>
      <w:tr>
        <w:trPr>
          <w:trHeight w:val="408" w:hRule="atLeast"/>
        </w:trPr>
        <w:tc>
          <w:tcPr>
            <w:tcW w:w="8387" w:type="dxa"/>
          </w:tcPr>
          <w:p>
            <w:pPr>
              <w:pStyle w:val="TableParagraph"/>
              <w:spacing w:before="50"/>
              <w:ind w:left="270"/>
              <w:rPr>
                <w:sz w:val="22"/>
              </w:rPr>
            </w:pPr>
            <w:r>
              <w:rPr>
                <w:sz w:val="22"/>
              </w:rPr>
              <w:t>MA-25 Public and Assisted Housing – 91.210(b)</w:t>
            </w:r>
          </w:p>
        </w:tc>
        <w:tc>
          <w:tcPr>
            <w:tcW w:w="1063" w:type="dxa"/>
          </w:tcPr>
          <w:p>
            <w:pPr>
              <w:pStyle w:val="TableParagraph"/>
              <w:spacing w:before="50"/>
              <w:ind w:right="49"/>
              <w:jc w:val="right"/>
              <w:rPr>
                <w:sz w:val="22"/>
              </w:rPr>
            </w:pPr>
            <w:r>
              <w:rPr>
                <w:sz w:val="22"/>
              </w:rPr>
              <w:t>50</w:t>
            </w:r>
          </w:p>
        </w:tc>
      </w:tr>
      <w:tr>
        <w:trPr>
          <w:trHeight w:val="408" w:hRule="atLeast"/>
        </w:trPr>
        <w:tc>
          <w:tcPr>
            <w:tcW w:w="8387" w:type="dxa"/>
          </w:tcPr>
          <w:p>
            <w:pPr>
              <w:pStyle w:val="TableParagraph"/>
              <w:spacing w:before="50"/>
              <w:ind w:left="270"/>
              <w:rPr>
                <w:sz w:val="22"/>
              </w:rPr>
            </w:pPr>
            <w:r>
              <w:rPr>
                <w:sz w:val="22"/>
              </w:rPr>
              <w:t>MA-30 Homeless Facilities and Services – 91.210(c)</w:t>
            </w:r>
          </w:p>
        </w:tc>
        <w:tc>
          <w:tcPr>
            <w:tcW w:w="1063" w:type="dxa"/>
          </w:tcPr>
          <w:p>
            <w:pPr>
              <w:pStyle w:val="TableParagraph"/>
              <w:spacing w:before="50"/>
              <w:ind w:right="49"/>
              <w:jc w:val="right"/>
              <w:rPr>
                <w:sz w:val="22"/>
              </w:rPr>
            </w:pPr>
            <w:r>
              <w:rPr>
                <w:sz w:val="22"/>
              </w:rPr>
              <w:t>53</w:t>
            </w:r>
          </w:p>
        </w:tc>
      </w:tr>
      <w:tr>
        <w:trPr>
          <w:trHeight w:val="408" w:hRule="atLeast"/>
        </w:trPr>
        <w:tc>
          <w:tcPr>
            <w:tcW w:w="8387" w:type="dxa"/>
          </w:tcPr>
          <w:p>
            <w:pPr>
              <w:pStyle w:val="TableParagraph"/>
              <w:spacing w:before="50"/>
              <w:ind w:left="270"/>
              <w:rPr>
                <w:sz w:val="22"/>
              </w:rPr>
            </w:pPr>
            <w:r>
              <w:rPr>
                <w:sz w:val="22"/>
              </w:rPr>
              <w:t>MA-35 Special Needs Facilities and Services – 91.210(d)</w:t>
            </w:r>
          </w:p>
        </w:tc>
        <w:tc>
          <w:tcPr>
            <w:tcW w:w="1063" w:type="dxa"/>
          </w:tcPr>
          <w:p>
            <w:pPr>
              <w:pStyle w:val="TableParagraph"/>
              <w:spacing w:before="50"/>
              <w:ind w:right="49"/>
              <w:jc w:val="right"/>
              <w:rPr>
                <w:sz w:val="22"/>
              </w:rPr>
            </w:pPr>
            <w:r>
              <w:rPr>
                <w:sz w:val="22"/>
              </w:rPr>
              <w:t>55</w:t>
            </w:r>
          </w:p>
        </w:tc>
      </w:tr>
      <w:tr>
        <w:trPr>
          <w:trHeight w:val="408" w:hRule="atLeast"/>
        </w:trPr>
        <w:tc>
          <w:tcPr>
            <w:tcW w:w="8387" w:type="dxa"/>
          </w:tcPr>
          <w:p>
            <w:pPr>
              <w:pStyle w:val="TableParagraph"/>
              <w:spacing w:before="50"/>
              <w:ind w:left="270"/>
              <w:rPr>
                <w:sz w:val="22"/>
              </w:rPr>
            </w:pPr>
            <w:r>
              <w:rPr>
                <w:sz w:val="22"/>
              </w:rPr>
              <w:t>MA-40 Barriers to Affordable Housing – 91.210(e)</w:t>
            </w:r>
          </w:p>
        </w:tc>
        <w:tc>
          <w:tcPr>
            <w:tcW w:w="1063" w:type="dxa"/>
          </w:tcPr>
          <w:p>
            <w:pPr>
              <w:pStyle w:val="TableParagraph"/>
              <w:spacing w:before="50"/>
              <w:ind w:right="49"/>
              <w:jc w:val="right"/>
              <w:rPr>
                <w:sz w:val="22"/>
              </w:rPr>
            </w:pPr>
            <w:r>
              <w:rPr>
                <w:sz w:val="22"/>
              </w:rPr>
              <w:t>56</w:t>
            </w:r>
          </w:p>
        </w:tc>
      </w:tr>
      <w:tr>
        <w:trPr>
          <w:trHeight w:val="408" w:hRule="atLeast"/>
        </w:trPr>
        <w:tc>
          <w:tcPr>
            <w:tcW w:w="8387" w:type="dxa"/>
          </w:tcPr>
          <w:p>
            <w:pPr>
              <w:pStyle w:val="TableParagraph"/>
              <w:spacing w:before="50"/>
              <w:ind w:left="270"/>
              <w:rPr>
                <w:sz w:val="22"/>
              </w:rPr>
            </w:pPr>
            <w:r>
              <w:rPr>
                <w:sz w:val="22"/>
              </w:rPr>
              <w:t>MA-45 Non-Housing Community Development Assets – 91.215 (f)</w:t>
            </w:r>
          </w:p>
        </w:tc>
        <w:tc>
          <w:tcPr>
            <w:tcW w:w="1063" w:type="dxa"/>
          </w:tcPr>
          <w:p>
            <w:pPr>
              <w:pStyle w:val="TableParagraph"/>
              <w:spacing w:before="50"/>
              <w:ind w:right="49"/>
              <w:jc w:val="right"/>
              <w:rPr>
                <w:sz w:val="22"/>
              </w:rPr>
            </w:pPr>
            <w:r>
              <w:rPr>
                <w:sz w:val="22"/>
              </w:rPr>
              <w:t>57</w:t>
            </w:r>
          </w:p>
        </w:tc>
      </w:tr>
      <w:tr>
        <w:trPr>
          <w:trHeight w:val="314" w:hRule="atLeast"/>
        </w:trPr>
        <w:tc>
          <w:tcPr>
            <w:tcW w:w="8387" w:type="dxa"/>
          </w:tcPr>
          <w:p>
            <w:pPr>
              <w:pStyle w:val="TableParagraph"/>
              <w:spacing w:line="244" w:lineRule="exact" w:before="50"/>
              <w:ind w:left="270"/>
              <w:rPr>
                <w:sz w:val="22"/>
              </w:rPr>
            </w:pPr>
            <w:r>
              <w:rPr>
                <w:sz w:val="22"/>
              </w:rPr>
              <w:t>MA-50 Needs and Market Analysis Discussion</w:t>
            </w:r>
          </w:p>
        </w:tc>
        <w:tc>
          <w:tcPr>
            <w:tcW w:w="1063" w:type="dxa"/>
          </w:tcPr>
          <w:p>
            <w:pPr>
              <w:pStyle w:val="TableParagraph"/>
              <w:spacing w:line="244" w:lineRule="exact" w:before="50"/>
              <w:ind w:right="49"/>
              <w:jc w:val="right"/>
              <w:rPr>
                <w:sz w:val="22"/>
              </w:rPr>
            </w:pPr>
            <w:r>
              <w:rPr>
                <w:sz w:val="22"/>
              </w:rPr>
              <w:t>65</w:t>
            </w:r>
          </w:p>
        </w:tc>
      </w:tr>
    </w:tbl>
    <w:p>
      <w:pPr>
        <w:spacing w:after="0" w:line="244" w:lineRule="exact"/>
        <w:jc w:val="right"/>
        <w:rPr>
          <w:sz w:val="22"/>
        </w:rPr>
        <w:sectPr>
          <w:pgSz w:w="12240" w:h="15840"/>
          <w:pgMar w:header="769" w:footer="1321" w:top="1340" w:bottom="1540" w:left="1220" w:right="880"/>
        </w:sectPr>
      </w:pPr>
    </w:p>
    <w:sdt>
      <w:sdtPr>
        <w:docPartObj>
          <w:docPartGallery w:val="Table of Contents"/>
          <w:docPartUnique/>
        </w:docPartObj>
      </w:sdtPr>
      <w:sdtEndPr/>
      <w:sdtContent>
        <w:p>
          <w:pPr>
            <w:pStyle w:val="TOC2"/>
            <w:tabs>
              <w:tab w:pos="9346" w:val="left" w:leader="none"/>
            </w:tabs>
            <w:spacing w:line="276" w:lineRule="auto" w:before="94"/>
            <w:ind w:right="569"/>
          </w:pPr>
          <w:r>
            <w:rPr/>
            <w:t>MA-60 Broadband Needs of Housing occupied by Low- and Moderate-Income Households - 91.210(a)(4), 91.310(a)(2)</w:t>
            <w:tab/>
          </w:r>
          <w:r>
            <w:rPr>
              <w:spacing w:val="-9"/>
            </w:rPr>
            <w:t>67</w:t>
          </w:r>
        </w:p>
        <w:p>
          <w:pPr>
            <w:pStyle w:val="TOC2"/>
            <w:tabs>
              <w:tab w:pos="9346" w:val="left" w:leader="none"/>
            </w:tabs>
            <w:spacing w:before="100"/>
          </w:pPr>
          <w:r>
            <w:rPr/>
            <w:t>MA-65 Hazard Mitigation - 91.210(a)(5), 91.310(a)(3)</w:t>
            <w:tab/>
            <w:t>68</w:t>
          </w:r>
        </w:p>
        <w:p>
          <w:pPr>
            <w:pStyle w:val="TOC1"/>
            <w:tabs>
              <w:tab w:pos="9346" w:val="left" w:leader="none"/>
            </w:tabs>
          </w:pPr>
          <w:hyperlink w:history="true" w:anchor="_TOC_250021">
            <w:r>
              <w:rPr/>
              <w:t>Strategic Plan</w:t>
              <w:tab/>
              <w:t>69</w:t>
            </w:r>
          </w:hyperlink>
        </w:p>
        <w:p>
          <w:pPr>
            <w:pStyle w:val="TOC2"/>
            <w:tabs>
              <w:tab w:pos="9346" w:val="left" w:leader="none"/>
            </w:tabs>
          </w:pPr>
          <w:hyperlink w:history="true" w:anchor="_TOC_250020">
            <w:r>
              <w:rPr/>
              <w:t>SP-05 Overview</w:t>
              <w:tab/>
              <w:t>69</w:t>
            </w:r>
          </w:hyperlink>
        </w:p>
        <w:p>
          <w:pPr>
            <w:pStyle w:val="TOC2"/>
            <w:tabs>
              <w:tab w:pos="9346" w:val="left" w:leader="none"/>
            </w:tabs>
            <w:spacing w:before="141"/>
          </w:pPr>
          <w:hyperlink w:history="true" w:anchor="_TOC_250019">
            <w:r>
              <w:rPr/>
              <w:t>SP-10 Geographic Priorities – 91.215 (a)(1)</w:t>
              <w:tab/>
              <w:t>70</w:t>
            </w:r>
          </w:hyperlink>
        </w:p>
        <w:p>
          <w:pPr>
            <w:pStyle w:val="TOC2"/>
            <w:tabs>
              <w:tab w:pos="9346" w:val="left" w:leader="none"/>
            </w:tabs>
          </w:pPr>
          <w:hyperlink w:history="true" w:anchor="_TOC_250018">
            <w:r>
              <w:rPr/>
              <w:t>SP-25 Priority Needs - 91.215(a)(2)</w:t>
              <w:tab/>
              <w:t>72</w:t>
            </w:r>
          </w:hyperlink>
        </w:p>
        <w:p>
          <w:pPr>
            <w:pStyle w:val="TOC2"/>
            <w:tabs>
              <w:tab w:pos="9346" w:val="left" w:leader="none"/>
            </w:tabs>
          </w:pPr>
          <w:hyperlink w:history="true" w:anchor="_TOC_250017">
            <w:r>
              <w:rPr/>
              <w:t>SP-30 Influence of Market Conditions – 91.215 (b)</w:t>
              <w:tab/>
              <w:t>76</w:t>
            </w:r>
          </w:hyperlink>
        </w:p>
        <w:p>
          <w:pPr>
            <w:pStyle w:val="TOC2"/>
            <w:tabs>
              <w:tab w:pos="9346" w:val="left" w:leader="none"/>
            </w:tabs>
          </w:pPr>
          <w:hyperlink w:history="true" w:anchor="_TOC_250016">
            <w:r>
              <w:rPr/>
              <w:t>SP-35 Anticipated Resources - 91.215(a)(4), 91.220(c)(1,2)</w:t>
              <w:tab/>
              <w:t>77</w:t>
            </w:r>
          </w:hyperlink>
        </w:p>
        <w:p>
          <w:pPr>
            <w:pStyle w:val="TOC2"/>
            <w:tabs>
              <w:tab w:pos="9346" w:val="left" w:leader="none"/>
            </w:tabs>
            <w:spacing w:before="141"/>
          </w:pPr>
          <w:hyperlink w:history="true" w:anchor="_TOC_250015">
            <w:r>
              <w:rPr/>
              <w:t>SP-40 Institutional Delivery Structure – 91.215(k)</w:t>
              <w:tab/>
              <w:t>79</w:t>
            </w:r>
          </w:hyperlink>
        </w:p>
        <w:p>
          <w:pPr>
            <w:pStyle w:val="TOC2"/>
            <w:tabs>
              <w:tab w:pos="9346" w:val="left" w:leader="none"/>
            </w:tabs>
          </w:pPr>
          <w:hyperlink w:history="true" w:anchor="_TOC_250014">
            <w:r>
              <w:rPr/>
              <w:t>SP-45 Goals Summary – 91.215(a)(4)</w:t>
              <w:tab/>
              <w:t>82</w:t>
            </w:r>
          </w:hyperlink>
        </w:p>
        <w:p>
          <w:pPr>
            <w:pStyle w:val="TOC2"/>
            <w:tabs>
              <w:tab w:pos="9346" w:val="left" w:leader="none"/>
            </w:tabs>
          </w:pPr>
          <w:r>
            <w:rPr/>
            <w:t>SP-50 Public Housing Accessibility and Involvement – 91.215(c)</w:t>
            <w:tab/>
            <w:t>85</w:t>
          </w:r>
        </w:p>
        <w:p>
          <w:pPr>
            <w:pStyle w:val="TOC2"/>
            <w:tabs>
              <w:tab w:pos="9346" w:val="left" w:leader="none"/>
            </w:tabs>
            <w:spacing w:before="141"/>
          </w:pPr>
          <w:r>
            <w:rPr/>
            <w:t>SP-55 Barriers to affordable housing – 91.215(h)</w:t>
            <w:tab/>
            <w:t>87</w:t>
          </w:r>
        </w:p>
        <w:p>
          <w:pPr>
            <w:pStyle w:val="TOC2"/>
            <w:tabs>
              <w:tab w:pos="9346" w:val="left" w:leader="none"/>
            </w:tabs>
          </w:pPr>
          <w:hyperlink w:history="true" w:anchor="_TOC_250013">
            <w:r>
              <w:rPr/>
              <w:t>SP-60 Homelessness Strategy – 91.215(d)</w:t>
              <w:tab/>
              <w:t>88</w:t>
            </w:r>
          </w:hyperlink>
        </w:p>
        <w:p>
          <w:pPr>
            <w:pStyle w:val="TOC2"/>
            <w:tabs>
              <w:tab w:pos="9346" w:val="left" w:leader="none"/>
            </w:tabs>
          </w:pPr>
          <w:hyperlink w:history="true" w:anchor="_TOC_250012">
            <w:r>
              <w:rPr/>
              <w:t>SP-65 Lead based paint Hazards – 91.215(i)</w:t>
              <w:tab/>
              <w:t>90</w:t>
            </w:r>
          </w:hyperlink>
        </w:p>
        <w:p>
          <w:pPr>
            <w:pStyle w:val="TOC2"/>
            <w:tabs>
              <w:tab w:pos="9346" w:val="left" w:leader="none"/>
            </w:tabs>
          </w:pPr>
          <w:hyperlink w:history="true" w:anchor="_TOC_250011">
            <w:r>
              <w:rPr/>
              <w:t>SP-70 Anti-Poverty Strategy – 91.215(j)</w:t>
              <w:tab/>
              <w:t>92</w:t>
            </w:r>
          </w:hyperlink>
        </w:p>
        <w:p>
          <w:pPr>
            <w:pStyle w:val="TOC2"/>
            <w:tabs>
              <w:tab w:pos="9346" w:val="left" w:leader="none"/>
            </w:tabs>
            <w:spacing w:before="141"/>
          </w:pPr>
          <w:hyperlink w:history="true" w:anchor="_TOC_250010">
            <w:r>
              <w:rPr/>
              <w:t>SP-80 Monitoring – 91.230</w:t>
              <w:tab/>
              <w:t>93</w:t>
            </w:r>
          </w:hyperlink>
        </w:p>
        <w:p>
          <w:pPr>
            <w:pStyle w:val="TOC1"/>
            <w:tabs>
              <w:tab w:pos="9346" w:val="left" w:leader="none"/>
            </w:tabs>
          </w:pPr>
          <w:hyperlink w:history="true" w:anchor="_TOC_250009">
            <w:r>
              <w:rPr/>
              <w:t>Expected Resources</w:t>
              <w:tab/>
              <w:t>97</w:t>
            </w:r>
          </w:hyperlink>
        </w:p>
        <w:p>
          <w:pPr>
            <w:pStyle w:val="TOC2"/>
            <w:tabs>
              <w:tab w:pos="9346" w:val="left" w:leader="none"/>
            </w:tabs>
          </w:pPr>
          <w:hyperlink w:history="true" w:anchor="_TOC_250008">
            <w:r>
              <w:rPr/>
              <w:t>AP-15 Expected Resources – 91.220(c)(1,2)</w:t>
              <w:tab/>
              <w:t>97</w:t>
            </w:r>
          </w:hyperlink>
        </w:p>
        <w:p>
          <w:pPr>
            <w:pStyle w:val="TOC1"/>
            <w:tabs>
              <w:tab w:pos="9235" w:val="left" w:leader="none"/>
            </w:tabs>
            <w:spacing w:before="141"/>
          </w:pPr>
          <w:hyperlink w:history="true" w:anchor="_TOC_250007">
            <w:r>
              <w:rPr/>
              <w:t>Annual Goals and Objectives</w:t>
              <w:tab/>
              <w:t>100</w:t>
            </w:r>
          </w:hyperlink>
        </w:p>
        <w:p>
          <w:pPr>
            <w:pStyle w:val="TOC2"/>
            <w:tabs>
              <w:tab w:pos="9235" w:val="left" w:leader="none"/>
            </w:tabs>
          </w:pPr>
          <w:hyperlink w:history="true" w:anchor="_TOC_250006">
            <w:r>
              <w:rPr/>
              <w:t>Projects</w:t>
              <w:tab/>
              <w:t>103</w:t>
            </w:r>
          </w:hyperlink>
        </w:p>
        <w:p>
          <w:pPr>
            <w:pStyle w:val="TOC2"/>
            <w:tabs>
              <w:tab w:pos="9235" w:val="left" w:leader="none"/>
            </w:tabs>
          </w:pPr>
          <w:hyperlink w:history="true" w:anchor="_TOC_250005">
            <w:r>
              <w:rPr/>
              <w:t>AP-35 Projects – 91.220(d)</w:t>
              <w:tab/>
              <w:t>103</w:t>
            </w:r>
          </w:hyperlink>
        </w:p>
        <w:p>
          <w:pPr>
            <w:pStyle w:val="TOC2"/>
            <w:tabs>
              <w:tab w:pos="9235" w:val="left" w:leader="none"/>
            </w:tabs>
          </w:pPr>
          <w:hyperlink w:history="true" w:anchor="_TOC_250004">
            <w:r>
              <w:rPr/>
              <w:t>AP-38 Project Summary</w:t>
              <w:tab/>
              <w:t>104</w:t>
            </w:r>
          </w:hyperlink>
        </w:p>
        <w:p>
          <w:pPr>
            <w:pStyle w:val="TOC2"/>
            <w:tabs>
              <w:tab w:pos="9235" w:val="left" w:leader="none"/>
            </w:tabs>
            <w:spacing w:before="141"/>
          </w:pPr>
          <w:hyperlink w:history="true" w:anchor="_TOC_250003">
            <w:r>
              <w:rPr/>
              <w:t>AP-50 Geographic Distribution – 91.220(f)</w:t>
              <w:tab/>
              <w:t>116</w:t>
            </w:r>
          </w:hyperlink>
        </w:p>
        <w:p>
          <w:pPr>
            <w:pStyle w:val="TOC1"/>
            <w:tabs>
              <w:tab w:pos="9235" w:val="left" w:leader="none"/>
            </w:tabs>
          </w:pPr>
          <w:hyperlink w:history="true" w:anchor="_TOC_250002">
            <w:r>
              <w:rPr/>
              <w:t>Affordable Housing</w:t>
              <w:tab/>
              <w:t>117</w:t>
            </w:r>
          </w:hyperlink>
        </w:p>
        <w:p>
          <w:pPr>
            <w:pStyle w:val="TOC2"/>
            <w:tabs>
              <w:tab w:pos="9235" w:val="left" w:leader="none"/>
            </w:tabs>
          </w:pPr>
          <w:hyperlink w:history="true" w:anchor="_TOC_250001">
            <w:r>
              <w:rPr/>
              <w:t>AP-55 Affordable Housing – 91.220(g)</w:t>
              <w:tab/>
              <w:t>117</w:t>
            </w:r>
          </w:hyperlink>
        </w:p>
        <w:p>
          <w:pPr>
            <w:pStyle w:val="TOC2"/>
            <w:tabs>
              <w:tab w:pos="9235" w:val="left" w:leader="none"/>
            </w:tabs>
            <w:spacing w:before="141"/>
          </w:pPr>
          <w:r>
            <w:rPr/>
            <w:t>AP-60 Public Housing – 91.220(h)</w:t>
            <w:tab/>
            <w:t>118</w:t>
          </w:r>
        </w:p>
        <w:p>
          <w:pPr>
            <w:pStyle w:val="TOC2"/>
            <w:tabs>
              <w:tab w:pos="9235" w:val="left" w:leader="none"/>
            </w:tabs>
          </w:pPr>
          <w:r>
            <w:rPr/>
            <w:t>AP-65 Homeless and Other Special Needs Activities – 91.220(i)</w:t>
            <w:tab/>
            <w:t>119</w:t>
          </w:r>
        </w:p>
        <w:p>
          <w:pPr>
            <w:pStyle w:val="TOC2"/>
            <w:tabs>
              <w:tab w:pos="9235" w:val="left" w:leader="none"/>
            </w:tabs>
          </w:pPr>
          <w:r>
            <w:rPr/>
            <w:t>AP-75 Barriers to affordable housing – 91.220(j)</w:t>
            <w:tab/>
            <w:t>121</w:t>
          </w:r>
        </w:p>
        <w:p>
          <w:pPr>
            <w:pStyle w:val="TOC2"/>
            <w:tabs>
              <w:tab w:pos="9235" w:val="left" w:leader="none"/>
            </w:tabs>
          </w:pPr>
          <w:r>
            <w:rPr/>
            <w:t>AP-85 Other Actions – 91.220(k)</w:t>
            <w:tab/>
            <w:t>122</w:t>
          </w:r>
        </w:p>
        <w:p>
          <w:pPr>
            <w:pStyle w:val="TOC1"/>
            <w:tabs>
              <w:tab w:pos="9235" w:val="left" w:leader="none"/>
            </w:tabs>
            <w:spacing w:before="141"/>
          </w:pPr>
          <w:hyperlink w:history="true" w:anchor="_TOC_250000">
            <w:r>
              <w:rPr/>
              <w:t>Program Specific Requirements</w:t>
              <w:tab/>
              <w:t>124</w:t>
            </w:r>
          </w:hyperlink>
        </w:p>
      </w:sdtContent>
    </w:sdt>
    <w:p>
      <w:pPr>
        <w:spacing w:after="0"/>
        <w:sectPr>
          <w:pgSz w:w="12240" w:h="15840"/>
          <w:pgMar w:header="769" w:footer="1321" w:top="1340" w:bottom="1540" w:left="1220" w:right="880"/>
        </w:sectPr>
      </w:pPr>
    </w:p>
    <w:p>
      <w:pPr>
        <w:pStyle w:val="BodyText"/>
        <w:spacing w:before="4"/>
        <w:rPr>
          <w:sz w:val="16"/>
        </w:rPr>
      </w:pPr>
    </w:p>
    <w:p>
      <w:pPr>
        <w:spacing w:after="0"/>
        <w:rPr>
          <w:sz w:val="16"/>
        </w:rPr>
        <w:sectPr>
          <w:pgSz w:w="12240" w:h="15840"/>
          <w:pgMar w:header="769" w:footer="1321" w:top="1340" w:bottom="1540" w:left="1220" w:right="880"/>
        </w:sectPr>
      </w:pPr>
    </w:p>
    <w:p>
      <w:pPr>
        <w:spacing w:before="96"/>
        <w:ind w:left="535" w:right="874" w:firstLine="0"/>
        <w:jc w:val="center"/>
        <w:rPr>
          <w:sz w:val="32"/>
        </w:rPr>
      </w:pPr>
      <w:r>
        <w:rPr>
          <w:sz w:val="32"/>
        </w:rPr>
        <w:t>Executive Summary</w:t>
      </w:r>
    </w:p>
    <w:p>
      <w:pPr>
        <w:spacing w:before="258"/>
        <w:ind w:left="220" w:right="0" w:firstLine="0"/>
        <w:jc w:val="left"/>
        <w:rPr>
          <w:b/>
          <w:sz w:val="32"/>
        </w:rPr>
      </w:pPr>
      <w:r>
        <w:rPr>
          <w:b/>
          <w:color w:val="0E4661"/>
          <w:sz w:val="32"/>
        </w:rPr>
        <w:t>ES-05 Executive Summary - 24 CFR 91.200(c), 91.220(b)</w:t>
      </w:r>
    </w:p>
    <w:p>
      <w:pPr>
        <w:pStyle w:val="Heading4"/>
        <w:numPr>
          <w:ilvl w:val="0"/>
          <w:numId w:val="1"/>
        </w:numPr>
        <w:tabs>
          <w:tab w:pos="1299" w:val="left" w:leader="none"/>
          <w:tab w:pos="1300" w:val="left" w:leader="none"/>
        </w:tabs>
        <w:spacing w:line="240" w:lineRule="auto" w:before="137" w:after="0"/>
        <w:ind w:left="1300" w:right="0" w:hanging="720"/>
        <w:jc w:val="left"/>
      </w:pPr>
      <w:r>
        <w:rPr/>
        <w:t>Introduction</w:t>
      </w:r>
    </w:p>
    <w:p>
      <w:pPr>
        <w:pStyle w:val="BodyText"/>
        <w:spacing w:before="6"/>
        <w:rPr>
          <w:b/>
          <w:sz w:val="26"/>
        </w:rPr>
      </w:pPr>
    </w:p>
    <w:p>
      <w:pPr>
        <w:pStyle w:val="BodyText"/>
        <w:spacing w:line="276" w:lineRule="auto" w:before="1"/>
        <w:ind w:left="580" w:right="559"/>
      </w:pPr>
      <w:r>
        <w:rPr/>
        <w:t>The City of Bloomington is an entitlement community selected by the U.S. Department of Housing and Urban Development to receive an annual allocation of Community Development Block Grant (CDBG) and HOME Investment Partnership Program funds. As the administering agency of these funds, the Housing and Neighborhood Development (HAND) department enhances the quality of life for Bloomington residents by developing programs, services, and partnerships to preserve community character, promote affordable housing and encourage neighborhood vitality. The programs that are administered through this office are focused on low-moderate income persons and neighborhoods. As a recipient of federal funds, the City of Bloomington is required by HUD to produce a Consolidated Plan and Annual Action Plan (AAP). HAND is responsible for drafting and administering these plans.</w:t>
      </w:r>
    </w:p>
    <w:p>
      <w:pPr>
        <w:pStyle w:val="BodyText"/>
        <w:spacing w:before="11"/>
      </w:pPr>
    </w:p>
    <w:p>
      <w:pPr>
        <w:pStyle w:val="BodyText"/>
        <w:spacing w:line="276" w:lineRule="auto"/>
        <w:ind w:left="580" w:right="678"/>
      </w:pPr>
      <w:r>
        <w:rPr/>
        <w:t>HAND has, through the CP, developed a single, consolidated planning and application document in consultation with public and private agencies. The CP for the City will serve the following functions:</w:t>
      </w:r>
    </w:p>
    <w:p>
      <w:pPr>
        <w:pStyle w:val="BodyText"/>
        <w:spacing w:before="11"/>
      </w:pPr>
    </w:p>
    <w:p>
      <w:pPr>
        <w:pStyle w:val="ListParagraph"/>
        <w:numPr>
          <w:ilvl w:val="1"/>
          <w:numId w:val="1"/>
        </w:numPr>
        <w:tabs>
          <w:tab w:pos="1660" w:val="left" w:leader="none"/>
        </w:tabs>
        <w:spacing w:line="276" w:lineRule="auto" w:before="0" w:after="0"/>
        <w:ind w:left="1660" w:right="653" w:hanging="360"/>
        <w:jc w:val="left"/>
        <w:rPr>
          <w:sz w:val="22"/>
        </w:rPr>
      </w:pPr>
      <w:r>
        <w:rPr>
          <w:sz w:val="22"/>
        </w:rPr>
        <w:t>A planning document that enables the City to view its HUD funding, not in isolation, </w:t>
      </w:r>
      <w:r>
        <w:rPr>
          <w:spacing w:val="-6"/>
          <w:sz w:val="22"/>
        </w:rPr>
        <w:t>but </w:t>
      </w:r>
      <w:r>
        <w:rPr>
          <w:sz w:val="22"/>
        </w:rPr>
        <w:t>as one tool in a comprehensive strategy to address housing, community development, and economic development needs;</w:t>
      </w:r>
    </w:p>
    <w:p>
      <w:pPr>
        <w:pStyle w:val="ListParagraph"/>
        <w:numPr>
          <w:ilvl w:val="1"/>
          <w:numId w:val="1"/>
        </w:numPr>
        <w:tabs>
          <w:tab w:pos="1660" w:val="left" w:leader="none"/>
        </w:tabs>
        <w:spacing w:line="240" w:lineRule="auto" w:before="0" w:after="0"/>
        <w:ind w:left="1660" w:right="0" w:hanging="360"/>
        <w:jc w:val="left"/>
        <w:rPr>
          <w:sz w:val="22"/>
        </w:rPr>
      </w:pPr>
      <w:r>
        <w:rPr>
          <w:sz w:val="22"/>
        </w:rPr>
        <w:t>An application for CDBG and HOME under HUD's formula grant;</w:t>
      </w:r>
    </w:p>
    <w:p>
      <w:pPr>
        <w:pStyle w:val="ListParagraph"/>
        <w:numPr>
          <w:ilvl w:val="1"/>
          <w:numId w:val="1"/>
        </w:numPr>
        <w:tabs>
          <w:tab w:pos="1659" w:val="left" w:leader="none"/>
          <w:tab w:pos="1660" w:val="left" w:leader="none"/>
        </w:tabs>
        <w:spacing w:line="240" w:lineRule="auto" w:before="41" w:after="0"/>
        <w:ind w:left="1660" w:right="0" w:hanging="360"/>
        <w:jc w:val="left"/>
        <w:rPr>
          <w:sz w:val="22"/>
        </w:rPr>
      </w:pPr>
      <w:r>
        <w:rPr>
          <w:sz w:val="22"/>
        </w:rPr>
        <w:t>A strategy document to be followed in carrying out HUD programs; and</w:t>
      </w:r>
    </w:p>
    <w:p>
      <w:pPr>
        <w:pStyle w:val="ListParagraph"/>
        <w:numPr>
          <w:ilvl w:val="1"/>
          <w:numId w:val="1"/>
        </w:numPr>
        <w:tabs>
          <w:tab w:pos="1660" w:val="left" w:leader="none"/>
        </w:tabs>
        <w:spacing w:line="276" w:lineRule="auto" w:before="40" w:after="0"/>
        <w:ind w:left="1660" w:right="1054" w:hanging="360"/>
        <w:jc w:val="left"/>
        <w:rPr>
          <w:sz w:val="22"/>
        </w:rPr>
      </w:pPr>
      <w:r>
        <w:rPr>
          <w:sz w:val="22"/>
        </w:rPr>
        <w:t>An action plan that provides a basis for assessing performance in the investment </w:t>
      </w:r>
      <w:r>
        <w:rPr>
          <w:spacing w:val="-9"/>
          <w:sz w:val="22"/>
        </w:rPr>
        <w:t>of </w:t>
      </w:r>
      <w:r>
        <w:rPr>
          <w:sz w:val="22"/>
        </w:rPr>
        <w:t>CDBG and HOME dollars.</w:t>
      </w:r>
    </w:p>
    <w:p>
      <w:pPr>
        <w:pStyle w:val="BodyText"/>
        <w:spacing w:before="11"/>
      </w:pPr>
    </w:p>
    <w:p>
      <w:pPr>
        <w:pStyle w:val="BodyText"/>
        <w:spacing w:line="276" w:lineRule="auto"/>
        <w:ind w:left="580" w:right="689"/>
      </w:pPr>
      <w:r>
        <w:rPr/>
        <w:t>The City of Bloomington anticipates receiving the following federal resources in FY 2025; estimated projections for five years follow in parentheses:</w:t>
      </w:r>
    </w:p>
    <w:p>
      <w:pPr>
        <w:pStyle w:val="BodyText"/>
        <w:spacing w:before="8"/>
      </w:pPr>
    </w:p>
    <w:p>
      <w:pPr>
        <w:pStyle w:val="ListParagraph"/>
        <w:numPr>
          <w:ilvl w:val="0"/>
          <w:numId w:val="2"/>
        </w:numPr>
        <w:tabs>
          <w:tab w:pos="1299" w:val="left" w:leader="none"/>
          <w:tab w:pos="1300" w:val="left" w:leader="none"/>
        </w:tabs>
        <w:spacing w:line="240" w:lineRule="auto" w:before="0" w:after="0"/>
        <w:ind w:left="1300" w:right="0" w:hanging="360"/>
        <w:jc w:val="left"/>
        <w:rPr>
          <w:sz w:val="22"/>
        </w:rPr>
      </w:pPr>
      <w:r>
        <w:rPr>
          <w:position w:val="1"/>
          <w:sz w:val="22"/>
        </w:rPr>
        <w:t>$795,743 in CDBG ($4,000,000)</w:t>
      </w:r>
    </w:p>
    <w:p>
      <w:pPr>
        <w:pStyle w:val="ListParagraph"/>
        <w:numPr>
          <w:ilvl w:val="0"/>
          <w:numId w:val="2"/>
        </w:numPr>
        <w:tabs>
          <w:tab w:pos="1299" w:val="left" w:leader="none"/>
          <w:tab w:pos="1300" w:val="left" w:leader="none"/>
        </w:tabs>
        <w:spacing w:line="240" w:lineRule="auto" w:before="39" w:after="0"/>
        <w:ind w:left="1300" w:right="0" w:hanging="360"/>
        <w:jc w:val="left"/>
        <w:rPr>
          <w:sz w:val="22"/>
        </w:rPr>
      </w:pPr>
      <w:r>
        <w:rPr>
          <w:position w:val="1"/>
          <w:sz w:val="22"/>
        </w:rPr>
        <w:t>$565,803 in HOME ($2,825,000)</w:t>
      </w:r>
    </w:p>
    <w:p>
      <w:pPr>
        <w:pStyle w:val="Heading4"/>
        <w:numPr>
          <w:ilvl w:val="0"/>
          <w:numId w:val="1"/>
        </w:numPr>
        <w:tabs>
          <w:tab w:pos="1299" w:val="left" w:leader="none"/>
          <w:tab w:pos="1300" w:val="left" w:leader="none"/>
        </w:tabs>
        <w:spacing w:line="276" w:lineRule="auto" w:before="45" w:after="0"/>
        <w:ind w:left="1300" w:right="662" w:hanging="720"/>
        <w:jc w:val="left"/>
      </w:pPr>
      <w:r>
        <w:rPr/>
        <w:t>Summary of the objectives and outcomes identified in the Plan Needs Assessment Overview</w:t>
      </w:r>
    </w:p>
    <w:p>
      <w:pPr>
        <w:spacing w:line="273" w:lineRule="auto" w:before="205"/>
        <w:ind w:left="580" w:right="901" w:firstLine="0"/>
        <w:jc w:val="left"/>
        <w:rPr>
          <w:sz w:val="24"/>
        </w:rPr>
      </w:pPr>
      <w:r>
        <w:rPr>
          <w:sz w:val="24"/>
        </w:rPr>
        <w:t>The primary focus of HAND’s implementation of this Plan will be to </w:t>
      </w:r>
      <w:r>
        <w:rPr>
          <w:sz w:val="22"/>
        </w:rPr>
        <w:t>sustain neighborhood stability, prevent homelessness, increase and improve housing supply and ensure accessible, affordable housing for people throughout the City. </w:t>
      </w:r>
      <w:r>
        <w:rPr>
          <w:sz w:val="24"/>
        </w:rPr>
        <w:t>The City developed this plan using citizen and stakeholder input generated by several stakeholder workshops and public meetings.</w:t>
      </w:r>
    </w:p>
    <w:p>
      <w:pPr>
        <w:pStyle w:val="Heading5"/>
        <w:spacing w:before="206"/>
        <w:ind w:left="580" w:firstLine="0"/>
      </w:pPr>
      <w:r>
        <w:rPr/>
        <w:t>The Priority Needs and Goals established by the City include:</w:t>
      </w:r>
    </w:p>
    <w:p>
      <w:pPr>
        <w:spacing w:after="0"/>
        <w:sectPr>
          <w:pgSz w:w="12240" w:h="15840"/>
          <w:pgMar w:header="769" w:footer="1321" w:top="1340" w:bottom="1540" w:left="1220" w:right="880"/>
        </w:sectPr>
      </w:pPr>
    </w:p>
    <w:p>
      <w:pPr>
        <w:pStyle w:val="ListParagraph"/>
        <w:numPr>
          <w:ilvl w:val="0"/>
          <w:numId w:val="3"/>
        </w:numPr>
        <w:tabs>
          <w:tab w:pos="939" w:val="left" w:leader="none"/>
          <w:tab w:pos="940" w:val="left" w:leader="none"/>
        </w:tabs>
        <w:spacing w:line="240" w:lineRule="auto" w:before="90" w:after="0"/>
        <w:ind w:left="940" w:right="0" w:hanging="360"/>
        <w:jc w:val="left"/>
        <w:rPr>
          <w:sz w:val="22"/>
        </w:rPr>
      </w:pPr>
      <w:r>
        <w:rPr>
          <w:position w:val="1"/>
          <w:sz w:val="22"/>
        </w:rPr>
        <w:t>Increase Quality of and Access to Affordable Housing</w:t>
      </w:r>
    </w:p>
    <w:p>
      <w:pPr>
        <w:pStyle w:val="ListParagraph"/>
        <w:numPr>
          <w:ilvl w:val="0"/>
          <w:numId w:val="3"/>
        </w:numPr>
        <w:tabs>
          <w:tab w:pos="939" w:val="left" w:leader="none"/>
          <w:tab w:pos="940" w:val="left" w:leader="none"/>
        </w:tabs>
        <w:spacing w:line="240" w:lineRule="auto" w:before="39" w:after="0"/>
        <w:ind w:left="940" w:right="0" w:hanging="360"/>
        <w:jc w:val="left"/>
        <w:rPr>
          <w:sz w:val="22"/>
        </w:rPr>
      </w:pPr>
      <w:r>
        <w:rPr>
          <w:position w:val="1"/>
          <w:sz w:val="22"/>
        </w:rPr>
        <w:t>Provide Public Services</w:t>
      </w:r>
    </w:p>
    <w:p>
      <w:pPr>
        <w:pStyle w:val="ListParagraph"/>
        <w:numPr>
          <w:ilvl w:val="0"/>
          <w:numId w:val="3"/>
        </w:numPr>
        <w:tabs>
          <w:tab w:pos="939" w:val="left" w:leader="none"/>
          <w:tab w:pos="940" w:val="left" w:leader="none"/>
        </w:tabs>
        <w:spacing w:line="240" w:lineRule="auto" w:before="40" w:after="0"/>
        <w:ind w:left="940" w:right="0" w:hanging="360"/>
        <w:jc w:val="left"/>
        <w:rPr>
          <w:sz w:val="22"/>
        </w:rPr>
      </w:pPr>
      <w:r>
        <w:rPr>
          <w:position w:val="1"/>
          <w:sz w:val="22"/>
        </w:rPr>
        <w:t>Provide Public Infrastructure and Facility Improvements</w:t>
      </w:r>
    </w:p>
    <w:p>
      <w:pPr>
        <w:pStyle w:val="ListParagraph"/>
        <w:numPr>
          <w:ilvl w:val="0"/>
          <w:numId w:val="3"/>
        </w:numPr>
        <w:tabs>
          <w:tab w:pos="939" w:val="left" w:leader="none"/>
          <w:tab w:pos="940" w:val="left" w:leader="none"/>
        </w:tabs>
        <w:spacing w:line="240" w:lineRule="auto" w:before="40" w:after="0"/>
        <w:ind w:left="940" w:right="0" w:hanging="360"/>
        <w:jc w:val="left"/>
        <w:rPr>
          <w:sz w:val="22"/>
        </w:rPr>
      </w:pPr>
      <w:r>
        <w:rPr>
          <w:position w:val="1"/>
          <w:sz w:val="22"/>
        </w:rPr>
        <w:t>Provide Housing and Services for People Experiencing or At Risk of Homelessness</w:t>
      </w:r>
    </w:p>
    <w:p>
      <w:pPr>
        <w:pStyle w:val="BodyText"/>
        <w:rPr>
          <w:sz w:val="26"/>
        </w:rPr>
      </w:pPr>
    </w:p>
    <w:p>
      <w:pPr>
        <w:pStyle w:val="BodyText"/>
        <w:spacing w:before="8"/>
        <w:rPr>
          <w:sz w:val="35"/>
        </w:rPr>
      </w:pPr>
    </w:p>
    <w:p>
      <w:pPr>
        <w:pStyle w:val="Heading4"/>
        <w:numPr>
          <w:ilvl w:val="0"/>
          <w:numId w:val="1"/>
        </w:numPr>
        <w:tabs>
          <w:tab w:pos="1029" w:val="left" w:leader="none"/>
          <w:tab w:pos="1030" w:val="left" w:leader="none"/>
        </w:tabs>
        <w:spacing w:line="240" w:lineRule="auto" w:before="0" w:after="0"/>
        <w:ind w:left="1030" w:right="0" w:hanging="720"/>
        <w:jc w:val="left"/>
      </w:pPr>
      <w:r>
        <w:rPr/>
        <w:t>Evaluation of past performance</w:t>
      </w:r>
    </w:p>
    <w:p>
      <w:pPr>
        <w:pStyle w:val="BodyText"/>
        <w:spacing w:before="6"/>
        <w:rPr>
          <w:b/>
          <w:sz w:val="26"/>
        </w:rPr>
      </w:pPr>
    </w:p>
    <w:p>
      <w:pPr>
        <w:pStyle w:val="BodyText"/>
        <w:spacing w:line="276" w:lineRule="auto"/>
        <w:ind w:left="580" w:right="927"/>
      </w:pPr>
      <w:r>
        <w:rPr/>
        <w:t>The City of Bloomington Housing &amp; Neighborhood Development Department is committed to continuously evaluating and improving the performance of the department and outcomes from investments made in the community. The evaluation of the City’s most recently completed fiscal year (2023) can be found in the Consolidated Annual Performance Evaluation Report (CAPER).</w:t>
      </w:r>
    </w:p>
    <w:p>
      <w:pPr>
        <w:pStyle w:val="BodyText"/>
        <w:ind w:left="580"/>
      </w:pPr>
      <w:r>
        <w:rPr/>
        <w:t>Previous years’ CAPERs are available for review at </w:t>
      </w:r>
      <w:r>
        <w:rPr>
          <w:color w:val="0000FF"/>
          <w:spacing w:val="-116"/>
          <w:u w:val="single" w:color="0000FF"/>
        </w:rPr>
        <w:t>h</w:t>
      </w:r>
      <w:hyperlink r:id="rId8">
        <w:r>
          <w:rPr>
            <w:color w:val="0000FF"/>
            <w:spacing w:val="65"/>
          </w:rPr>
          <w:t> </w:t>
        </w:r>
        <w:r>
          <w:rPr>
            <w:color w:val="0000FF"/>
            <w:u w:val="single" w:color="0000FF"/>
          </w:rPr>
          <w:t>ttps://bloomington.in.gov/departments/hand</w:t>
        </w:r>
      </w:hyperlink>
    </w:p>
    <w:p>
      <w:pPr>
        <w:pStyle w:val="BodyText"/>
        <w:spacing w:before="3"/>
        <w:rPr>
          <w:sz w:val="26"/>
        </w:rPr>
      </w:pPr>
    </w:p>
    <w:p>
      <w:pPr>
        <w:pStyle w:val="BodyText"/>
        <w:spacing w:line="276" w:lineRule="auto"/>
        <w:ind w:left="580" w:right="569"/>
      </w:pPr>
      <w:r>
        <w:rPr/>
        <w:t>HAND was able to assist thousands of low and moderate income households in Bloomington during the 2023 program year. All CDBG social service funding that was allocated during the program helped households with food, shelter, and youth and daycare needs. Several physical improvements within low income areas of the city were completed which included: rehab activities at two low income housing facilities, creation of a new classroom at the Compass Early Learning Center, fire safety upgrades at Centerstone’s main facility. Housing assistance provided through HOME and CDBG included three single family new construction homes, owner-occupied rehab and down payment assistance.</w:t>
      </w:r>
    </w:p>
    <w:p>
      <w:pPr>
        <w:pStyle w:val="BodyText"/>
        <w:spacing w:before="11"/>
      </w:pPr>
    </w:p>
    <w:p>
      <w:pPr>
        <w:pStyle w:val="BodyText"/>
        <w:spacing w:line="276" w:lineRule="auto" w:before="1"/>
        <w:ind w:left="580" w:right="661"/>
      </w:pPr>
      <w:r>
        <w:rPr/>
        <w:t>Also in Program Year 2023, the department continued to fulfill its responsibilities under the CDBG CV-3 program to assist the nine organizations who received funding during Program Year 2021. This includes, and is continuing in PY 2024, working with each of the organizations to be sure 100% of funds are expended by September 2026.</w:t>
      </w:r>
    </w:p>
    <w:p>
      <w:pPr>
        <w:pStyle w:val="BodyText"/>
        <w:spacing w:before="11"/>
      </w:pPr>
    </w:p>
    <w:p>
      <w:pPr>
        <w:pStyle w:val="Heading4"/>
        <w:numPr>
          <w:ilvl w:val="0"/>
          <w:numId w:val="1"/>
        </w:numPr>
        <w:tabs>
          <w:tab w:pos="1029" w:val="left" w:leader="none"/>
          <w:tab w:pos="1030" w:val="left" w:leader="none"/>
        </w:tabs>
        <w:spacing w:line="240" w:lineRule="auto" w:before="0" w:after="0"/>
        <w:ind w:left="1030" w:right="0" w:hanging="720"/>
        <w:jc w:val="left"/>
      </w:pPr>
      <w:r>
        <w:rPr/>
        <w:t>Summary of citizen participation process and consultation process</w:t>
      </w:r>
    </w:p>
    <w:p>
      <w:pPr>
        <w:pStyle w:val="BodyText"/>
        <w:rPr>
          <w:b/>
          <w:sz w:val="20"/>
        </w:rPr>
      </w:pPr>
    </w:p>
    <w:p>
      <w:pPr>
        <w:pStyle w:val="BodyText"/>
        <w:spacing w:line="276" w:lineRule="auto"/>
        <w:ind w:left="220" w:right="634"/>
      </w:pPr>
      <w:r>
        <w:rPr/>
        <w:t>The Housing and Neighborhood Development department initiates various mechanisms to engage the community through its Citizen Advisory Committee (CAC) and consultation processes. During the development of this Consolidated Plan, HAND actively consulted with a variety of non-profits, social service providers, community residents, and governmental agencies to determine the needs of the City.</w:t>
      </w:r>
    </w:p>
    <w:p>
      <w:pPr>
        <w:pStyle w:val="BodyText"/>
        <w:spacing w:before="4"/>
        <w:rPr>
          <w:sz w:val="16"/>
        </w:rPr>
      </w:pPr>
    </w:p>
    <w:p>
      <w:pPr>
        <w:pStyle w:val="BodyText"/>
        <w:spacing w:line="276" w:lineRule="auto" w:before="1"/>
        <w:ind w:left="220" w:right="657"/>
      </w:pPr>
      <w:r>
        <w:rPr/>
        <w:t>To gather community input on the development of the 2025-2029 Consolidated Plan and Analysis of Impediments to Fair Housing Choice, the Housing and Neighborhood Development (HAND) department of the City of Bloomington hosted three public meetings and six stakeholder workshops in the period from August 20 - September 3, 2024. The public meetings were hybrid: offered both in-person and on Zoom. The stakeholder meetings were all virtual, offered on Zoom. A total of 119 residents and organizational representatives participated in the nine meetings.</w:t>
      </w:r>
    </w:p>
    <w:p>
      <w:pPr>
        <w:spacing w:after="0" w:line="276" w:lineRule="auto"/>
        <w:sectPr>
          <w:pgSz w:w="12240" w:h="15840"/>
          <w:pgMar w:header="769" w:footer="1321" w:top="1340" w:bottom="1540" w:left="1220" w:right="880"/>
        </w:sectPr>
      </w:pPr>
    </w:p>
    <w:p>
      <w:pPr>
        <w:pStyle w:val="Heading4"/>
        <w:numPr>
          <w:ilvl w:val="0"/>
          <w:numId w:val="1"/>
        </w:numPr>
        <w:tabs>
          <w:tab w:pos="1029" w:val="left" w:leader="none"/>
          <w:tab w:pos="1030" w:val="left" w:leader="none"/>
        </w:tabs>
        <w:spacing w:line="240" w:lineRule="auto" w:before="94" w:after="0"/>
        <w:ind w:left="1030" w:right="0" w:hanging="720"/>
        <w:jc w:val="left"/>
      </w:pPr>
      <w:r>
        <w:rPr/>
        <w:t>Summary of public comments</w:t>
      </w:r>
    </w:p>
    <w:p>
      <w:pPr>
        <w:pStyle w:val="BodyText"/>
        <w:spacing w:before="12"/>
        <w:rPr>
          <w:b/>
          <w:sz w:val="19"/>
        </w:rPr>
      </w:pPr>
    </w:p>
    <w:p>
      <w:pPr>
        <w:pStyle w:val="BodyText"/>
        <w:ind w:left="220"/>
      </w:pPr>
      <w:r>
        <w:rPr/>
        <w:t>A summary of public comments is included in the Citizen Participation Appendix.</w:t>
      </w:r>
    </w:p>
    <w:p>
      <w:pPr>
        <w:pStyle w:val="BodyText"/>
        <w:spacing w:before="8"/>
        <w:rPr>
          <w:sz w:val="19"/>
        </w:rPr>
      </w:pPr>
    </w:p>
    <w:p>
      <w:pPr>
        <w:pStyle w:val="Heading4"/>
        <w:numPr>
          <w:ilvl w:val="0"/>
          <w:numId w:val="1"/>
        </w:numPr>
        <w:tabs>
          <w:tab w:pos="1029" w:val="left" w:leader="none"/>
          <w:tab w:pos="1030" w:val="left" w:leader="none"/>
        </w:tabs>
        <w:spacing w:line="240" w:lineRule="auto" w:before="1" w:after="0"/>
        <w:ind w:left="1030" w:right="0" w:hanging="720"/>
        <w:jc w:val="left"/>
      </w:pPr>
      <w:r>
        <w:rPr/>
        <w:t>Summary of comments or views not accepted and the reasons for not accepting them</w:t>
      </w:r>
    </w:p>
    <w:p>
      <w:pPr>
        <w:pStyle w:val="BodyText"/>
        <w:spacing w:before="11"/>
        <w:rPr>
          <w:b/>
          <w:sz w:val="19"/>
        </w:rPr>
      </w:pPr>
    </w:p>
    <w:p>
      <w:pPr>
        <w:pStyle w:val="BodyText"/>
        <w:ind w:left="220"/>
      </w:pPr>
      <w:r>
        <w:rPr/>
        <w:t>There are no comments that are not accepted.</w:t>
      </w:r>
    </w:p>
    <w:p>
      <w:pPr>
        <w:pStyle w:val="BodyText"/>
        <w:spacing w:before="9"/>
        <w:rPr>
          <w:sz w:val="19"/>
        </w:rPr>
      </w:pPr>
    </w:p>
    <w:p>
      <w:pPr>
        <w:pStyle w:val="Heading4"/>
        <w:numPr>
          <w:ilvl w:val="0"/>
          <w:numId w:val="1"/>
        </w:numPr>
        <w:tabs>
          <w:tab w:pos="1029" w:val="left" w:leader="none"/>
          <w:tab w:pos="1030" w:val="left" w:leader="none"/>
        </w:tabs>
        <w:spacing w:line="240" w:lineRule="auto" w:before="0" w:after="0"/>
        <w:ind w:left="1030" w:right="0" w:hanging="720"/>
        <w:jc w:val="left"/>
      </w:pPr>
      <w:r>
        <w:rPr/>
        <w:t>Summary</w:t>
      </w:r>
    </w:p>
    <w:p>
      <w:pPr>
        <w:pStyle w:val="BodyText"/>
        <w:spacing w:before="11"/>
        <w:rPr>
          <w:b/>
          <w:sz w:val="19"/>
        </w:rPr>
      </w:pPr>
    </w:p>
    <w:p>
      <w:pPr>
        <w:pStyle w:val="BodyText"/>
        <w:spacing w:line="276" w:lineRule="auto" w:before="1"/>
        <w:ind w:left="220" w:right="655"/>
      </w:pPr>
      <w:r>
        <w:rPr/>
        <w:t>In summary, the Consolidated Plan and Annual Action Plan have been developed with community input and reflect the needs of the City.</w:t>
      </w:r>
    </w:p>
    <w:p>
      <w:pPr>
        <w:spacing w:after="0" w:line="276" w:lineRule="auto"/>
        <w:sectPr>
          <w:pgSz w:w="12240" w:h="15840"/>
          <w:pgMar w:header="769" w:footer="1321" w:top="1340" w:bottom="1540" w:left="1220" w:right="880"/>
        </w:sectPr>
      </w:pPr>
    </w:p>
    <w:p>
      <w:pPr>
        <w:pStyle w:val="Heading2"/>
        <w:spacing w:before="96"/>
      </w:pPr>
      <w:r>
        <w:rPr/>
        <w:t>The Process</w:t>
      </w:r>
    </w:p>
    <w:p>
      <w:pPr>
        <w:spacing w:before="218"/>
        <w:ind w:left="220" w:right="0" w:firstLine="0"/>
        <w:jc w:val="left"/>
        <w:rPr>
          <w:b/>
          <w:sz w:val="32"/>
        </w:rPr>
      </w:pPr>
      <w:r>
        <w:rPr>
          <w:b/>
          <w:color w:val="0E4661"/>
          <w:sz w:val="32"/>
        </w:rPr>
        <w:t>PR-05 Lead &amp; Responsible Agencies 24 CFR 91.200(b)</w:t>
      </w:r>
    </w:p>
    <w:p>
      <w:pPr>
        <w:pStyle w:val="Heading4"/>
        <w:tabs>
          <w:tab w:pos="939" w:val="left" w:leader="none"/>
        </w:tabs>
        <w:spacing w:line="276" w:lineRule="auto" w:before="137"/>
        <w:ind w:right="1040"/>
      </w:pPr>
      <w:r>
        <w:rPr/>
        <w:t>1.</w:t>
        <w:tab/>
        <w:t>Describe agency/entity responsible for preparing the Consolidated Plan and </w:t>
      </w:r>
      <w:r>
        <w:rPr>
          <w:spacing w:val="-4"/>
        </w:rPr>
        <w:t>those </w:t>
      </w:r>
      <w:r>
        <w:rPr/>
        <w:t>responsible for administration of each grant program and funding source</w:t>
      </w:r>
    </w:p>
    <w:p>
      <w:pPr>
        <w:pStyle w:val="Heading5"/>
        <w:spacing w:line="276" w:lineRule="auto" w:before="200"/>
        <w:ind w:left="220" w:right="980" w:firstLine="0"/>
      </w:pPr>
      <w:r>
        <w:rPr/>
        <w:t>The following are the agencies/entities responsible for preparing the Consolidated Plan and those responsible for administration of each grant program and funding source.</w:t>
      </w:r>
    </w:p>
    <w:p>
      <w:pPr>
        <w:pStyle w:val="BodyText"/>
        <w:spacing w:after="1"/>
        <w:rPr>
          <w:sz w:val="1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9"/>
        <w:gridCol w:w="444"/>
        <w:gridCol w:w="2271"/>
        <w:gridCol w:w="827"/>
        <w:gridCol w:w="3149"/>
      </w:tblGrid>
      <w:tr>
        <w:trPr>
          <w:trHeight w:val="263" w:hRule="atLeast"/>
        </w:trPr>
        <w:tc>
          <w:tcPr>
            <w:tcW w:w="3103" w:type="dxa"/>
            <w:gridSpan w:val="2"/>
          </w:tcPr>
          <w:p>
            <w:pPr>
              <w:pStyle w:val="TableParagraph"/>
              <w:spacing w:line="242" w:lineRule="exact" w:before="1"/>
              <w:ind w:left="989"/>
              <w:rPr>
                <w:b/>
                <w:sz w:val="22"/>
              </w:rPr>
            </w:pPr>
            <w:r>
              <w:rPr>
                <w:b/>
                <w:sz w:val="22"/>
              </w:rPr>
              <w:t>Agency Role</w:t>
            </w:r>
          </w:p>
        </w:tc>
        <w:tc>
          <w:tcPr>
            <w:tcW w:w="3098" w:type="dxa"/>
            <w:gridSpan w:val="2"/>
          </w:tcPr>
          <w:p>
            <w:pPr>
              <w:pStyle w:val="TableParagraph"/>
              <w:spacing w:line="242" w:lineRule="exact" w:before="1"/>
              <w:ind w:left="1254" w:right="1244"/>
              <w:jc w:val="center"/>
              <w:rPr>
                <w:b/>
                <w:sz w:val="22"/>
              </w:rPr>
            </w:pPr>
            <w:r>
              <w:rPr>
                <w:b/>
                <w:sz w:val="22"/>
              </w:rPr>
              <w:t>Name</w:t>
            </w:r>
          </w:p>
        </w:tc>
        <w:tc>
          <w:tcPr>
            <w:tcW w:w="3149" w:type="dxa"/>
          </w:tcPr>
          <w:p>
            <w:pPr>
              <w:pStyle w:val="TableParagraph"/>
              <w:spacing w:line="242" w:lineRule="exact" w:before="1"/>
              <w:ind w:left="636"/>
              <w:rPr>
                <w:b/>
                <w:sz w:val="22"/>
              </w:rPr>
            </w:pPr>
            <w:r>
              <w:rPr>
                <w:b/>
                <w:sz w:val="22"/>
              </w:rPr>
              <w:t>Department/Agency</w:t>
            </w:r>
          </w:p>
        </w:tc>
      </w:tr>
      <w:tr>
        <w:trPr>
          <w:trHeight w:val="258" w:hRule="atLeast"/>
        </w:trPr>
        <w:tc>
          <w:tcPr>
            <w:tcW w:w="3103" w:type="dxa"/>
            <w:gridSpan w:val="2"/>
            <w:tcBorders>
              <w:bottom w:val="single" w:sz="18" w:space="0" w:color="000000"/>
            </w:tcBorders>
          </w:tcPr>
          <w:p>
            <w:pPr>
              <w:pStyle w:val="TableParagraph"/>
              <w:rPr>
                <w:rFonts w:ascii="Times New Roman"/>
                <w:sz w:val="18"/>
              </w:rPr>
            </w:pPr>
          </w:p>
        </w:tc>
        <w:tc>
          <w:tcPr>
            <w:tcW w:w="3098" w:type="dxa"/>
            <w:gridSpan w:val="2"/>
            <w:tcBorders>
              <w:bottom w:val="single" w:sz="18" w:space="0" w:color="000000"/>
            </w:tcBorders>
          </w:tcPr>
          <w:p>
            <w:pPr>
              <w:pStyle w:val="TableParagraph"/>
              <w:rPr>
                <w:rFonts w:ascii="Times New Roman"/>
                <w:sz w:val="18"/>
              </w:rPr>
            </w:pPr>
          </w:p>
        </w:tc>
        <w:tc>
          <w:tcPr>
            <w:tcW w:w="3149" w:type="dxa"/>
            <w:tcBorders>
              <w:bottom w:val="single" w:sz="18" w:space="0" w:color="000000"/>
            </w:tcBorders>
          </w:tcPr>
          <w:p>
            <w:pPr>
              <w:pStyle w:val="TableParagraph"/>
              <w:rPr>
                <w:rFonts w:ascii="Times New Roman"/>
                <w:sz w:val="18"/>
              </w:rPr>
            </w:pPr>
          </w:p>
        </w:tc>
      </w:tr>
      <w:tr>
        <w:trPr>
          <w:trHeight w:val="607" w:hRule="atLeast"/>
        </w:trPr>
        <w:tc>
          <w:tcPr>
            <w:tcW w:w="2659" w:type="dxa"/>
            <w:tcBorders>
              <w:top w:val="single" w:sz="18" w:space="0" w:color="000000"/>
            </w:tcBorders>
          </w:tcPr>
          <w:p>
            <w:pPr>
              <w:pStyle w:val="TableParagraph"/>
              <w:spacing w:line="265" w:lineRule="exact"/>
              <w:ind w:left="112"/>
              <w:rPr>
                <w:sz w:val="22"/>
              </w:rPr>
            </w:pPr>
            <w:r>
              <w:rPr>
                <w:sz w:val="22"/>
              </w:rPr>
              <w:t>CDBG Administrator</w:t>
            </w:r>
          </w:p>
        </w:tc>
        <w:tc>
          <w:tcPr>
            <w:tcW w:w="2715" w:type="dxa"/>
            <w:gridSpan w:val="2"/>
            <w:tcBorders>
              <w:top w:val="single" w:sz="18" w:space="0" w:color="000000"/>
            </w:tcBorders>
          </w:tcPr>
          <w:p>
            <w:pPr>
              <w:pStyle w:val="TableParagraph"/>
              <w:spacing w:line="265" w:lineRule="exact"/>
              <w:ind w:left="112"/>
              <w:rPr>
                <w:sz w:val="22"/>
              </w:rPr>
            </w:pPr>
            <w:r>
              <w:rPr>
                <w:sz w:val="22"/>
              </w:rPr>
              <w:t>BLOOMINGTON</w:t>
            </w:r>
          </w:p>
        </w:tc>
        <w:tc>
          <w:tcPr>
            <w:tcW w:w="3976" w:type="dxa"/>
            <w:gridSpan w:val="2"/>
            <w:tcBorders>
              <w:top w:val="single" w:sz="18" w:space="0" w:color="000000"/>
            </w:tcBorders>
          </w:tcPr>
          <w:p>
            <w:pPr>
              <w:pStyle w:val="TableParagraph"/>
              <w:spacing w:line="265" w:lineRule="exact"/>
              <w:ind w:left="112"/>
              <w:rPr>
                <w:sz w:val="22"/>
              </w:rPr>
            </w:pPr>
            <w:r>
              <w:rPr>
                <w:sz w:val="22"/>
              </w:rPr>
              <w:t>Housing and Neighborhood Development</w:t>
            </w:r>
          </w:p>
          <w:p>
            <w:pPr>
              <w:pStyle w:val="TableParagraph"/>
              <w:spacing w:before="40"/>
              <w:ind w:left="112"/>
              <w:rPr>
                <w:sz w:val="22"/>
              </w:rPr>
            </w:pPr>
            <w:r>
              <w:rPr>
                <w:sz w:val="22"/>
              </w:rPr>
              <w:t>Department</w:t>
            </w:r>
          </w:p>
        </w:tc>
      </w:tr>
      <w:tr>
        <w:trPr>
          <w:trHeight w:val="612" w:hRule="atLeast"/>
        </w:trPr>
        <w:tc>
          <w:tcPr>
            <w:tcW w:w="2659" w:type="dxa"/>
          </w:tcPr>
          <w:p>
            <w:pPr>
              <w:pStyle w:val="TableParagraph"/>
              <w:spacing w:before="1"/>
              <w:ind w:left="112"/>
              <w:rPr>
                <w:sz w:val="22"/>
              </w:rPr>
            </w:pPr>
            <w:r>
              <w:rPr>
                <w:sz w:val="22"/>
              </w:rPr>
              <w:t>HOME Administrator</w:t>
            </w:r>
          </w:p>
        </w:tc>
        <w:tc>
          <w:tcPr>
            <w:tcW w:w="2715" w:type="dxa"/>
            <w:gridSpan w:val="2"/>
          </w:tcPr>
          <w:p>
            <w:pPr>
              <w:pStyle w:val="TableParagraph"/>
              <w:spacing w:before="1"/>
              <w:ind w:left="112"/>
              <w:rPr>
                <w:sz w:val="22"/>
              </w:rPr>
            </w:pPr>
            <w:r>
              <w:rPr>
                <w:sz w:val="22"/>
              </w:rPr>
              <w:t>BLOOMINGTON</w:t>
            </w:r>
          </w:p>
        </w:tc>
        <w:tc>
          <w:tcPr>
            <w:tcW w:w="3976" w:type="dxa"/>
            <w:gridSpan w:val="2"/>
          </w:tcPr>
          <w:p>
            <w:pPr>
              <w:pStyle w:val="TableParagraph"/>
              <w:spacing w:before="1"/>
              <w:ind w:left="112"/>
              <w:rPr>
                <w:sz w:val="22"/>
              </w:rPr>
            </w:pPr>
            <w:r>
              <w:rPr>
                <w:sz w:val="22"/>
              </w:rPr>
              <w:t>Housing and Neighborhood Development</w:t>
            </w:r>
          </w:p>
          <w:p>
            <w:pPr>
              <w:pStyle w:val="TableParagraph"/>
              <w:spacing w:before="41"/>
              <w:ind w:left="112"/>
              <w:rPr>
                <w:sz w:val="22"/>
              </w:rPr>
            </w:pPr>
            <w:r>
              <w:rPr>
                <w:sz w:val="22"/>
              </w:rPr>
              <w:t>Department</w:t>
            </w:r>
          </w:p>
        </w:tc>
      </w:tr>
    </w:tbl>
    <w:p>
      <w:pPr>
        <w:pStyle w:val="BodyText"/>
        <w:spacing w:before="11"/>
      </w:pPr>
    </w:p>
    <w:p>
      <w:pPr>
        <w:spacing w:before="0"/>
        <w:ind w:left="535" w:right="874" w:firstLine="0"/>
        <w:jc w:val="center"/>
        <w:rPr>
          <w:rFonts w:ascii="Cambria" w:hAnsi="Cambria"/>
          <w:b/>
          <w:sz w:val="20"/>
        </w:rPr>
      </w:pPr>
      <w:r>
        <w:rPr>
          <w:rFonts w:ascii="Cambria" w:hAnsi="Cambria"/>
          <w:b/>
          <w:sz w:val="20"/>
        </w:rPr>
        <w:t>Table 1 – Responsible Agencies</w:t>
      </w:r>
    </w:p>
    <w:p>
      <w:pPr>
        <w:pStyle w:val="BodyText"/>
        <w:spacing w:before="4"/>
        <w:rPr>
          <w:rFonts w:ascii="Cambria"/>
          <w:b/>
          <w:sz w:val="25"/>
        </w:rPr>
      </w:pPr>
    </w:p>
    <w:p>
      <w:pPr>
        <w:pStyle w:val="Heading4"/>
      </w:pPr>
      <w:r>
        <w:rPr/>
        <w:t>Narrative</w:t>
      </w:r>
    </w:p>
    <w:p>
      <w:pPr>
        <w:pStyle w:val="BodyText"/>
        <w:spacing w:before="6"/>
        <w:rPr>
          <w:b/>
          <w:sz w:val="26"/>
        </w:rPr>
      </w:pPr>
    </w:p>
    <w:p>
      <w:pPr>
        <w:pStyle w:val="BodyText"/>
        <w:spacing w:line="276" w:lineRule="auto" w:before="1"/>
        <w:ind w:left="220" w:right="920"/>
      </w:pPr>
      <w:r>
        <w:rPr/>
        <w:t>While the Participating Jurisdiction/Entitlement Community, the City of Bloomington, works with a number of other departments within the City and several partners in the community, the lead department is the Housing and Neighborhood Development Department. The department has a full- time staff of 19, with five of those staff fully- or partially-dedicated to HUD programming.</w:t>
      </w:r>
    </w:p>
    <w:p>
      <w:pPr>
        <w:pStyle w:val="BodyText"/>
        <w:spacing w:before="11"/>
      </w:pPr>
    </w:p>
    <w:p>
      <w:pPr>
        <w:pStyle w:val="Heading4"/>
      </w:pPr>
      <w:r>
        <w:rPr/>
        <w:t>Consolidated Plan Public Contact Information</w:t>
      </w:r>
    </w:p>
    <w:p>
      <w:pPr>
        <w:pStyle w:val="BodyText"/>
        <w:spacing w:before="6"/>
        <w:rPr>
          <w:b/>
          <w:sz w:val="26"/>
        </w:rPr>
      </w:pPr>
    </w:p>
    <w:p>
      <w:pPr>
        <w:pStyle w:val="BodyText"/>
        <w:spacing w:before="1"/>
        <w:ind w:left="220"/>
      </w:pPr>
      <w:r>
        <w:rPr/>
        <w:t>City of Bloomington</w:t>
      </w:r>
    </w:p>
    <w:p>
      <w:pPr>
        <w:pStyle w:val="BodyText"/>
        <w:spacing w:before="11"/>
      </w:pPr>
    </w:p>
    <w:p>
      <w:pPr>
        <w:pStyle w:val="BodyText"/>
        <w:spacing w:line="489" w:lineRule="auto"/>
        <w:ind w:left="220" w:right="5046"/>
      </w:pPr>
      <w:r>
        <w:rPr/>
        <w:t>Housing and Neighborhood Development Department 401 N. Morton St., Suite 130</w:t>
      </w:r>
    </w:p>
    <w:p>
      <w:pPr>
        <w:pStyle w:val="BodyText"/>
        <w:spacing w:before="2"/>
        <w:ind w:left="220"/>
      </w:pPr>
      <w:r>
        <w:rPr/>
        <w:t>Bloomington, IN 47404</w:t>
      </w:r>
    </w:p>
    <w:p>
      <w:pPr>
        <w:pStyle w:val="BodyText"/>
        <w:spacing w:before="11"/>
      </w:pPr>
    </w:p>
    <w:p>
      <w:pPr>
        <w:pStyle w:val="BodyText"/>
        <w:ind w:left="220"/>
      </w:pPr>
      <w:r>
        <w:rPr/>
        <w:t>812.349.3401</w:t>
      </w:r>
    </w:p>
    <w:p>
      <w:pPr>
        <w:spacing w:after="0"/>
        <w:sectPr>
          <w:pgSz w:w="12240" w:h="15840"/>
          <w:pgMar w:header="769" w:footer="1321" w:top="1340" w:bottom="1540" w:left="1220" w:right="880"/>
        </w:sectPr>
      </w:pPr>
    </w:p>
    <w:p>
      <w:pPr>
        <w:pStyle w:val="BodyText"/>
        <w:rPr>
          <w:sz w:val="18"/>
        </w:rPr>
      </w:pPr>
    </w:p>
    <w:p>
      <w:pPr>
        <w:pStyle w:val="Heading1"/>
        <w:spacing w:line="276" w:lineRule="auto" w:before="36"/>
        <w:ind w:right="929"/>
      </w:pPr>
      <w:r>
        <w:rPr>
          <w:color w:val="0E4661"/>
        </w:rPr>
        <w:t>PR-10 Consultation – 91.100, 91.110, 91.200(b), 91.300(b), 91.215(I) and 91.315(I)</w:t>
      </w:r>
    </w:p>
    <w:p>
      <w:pPr>
        <w:pStyle w:val="Heading4"/>
        <w:numPr>
          <w:ilvl w:val="0"/>
          <w:numId w:val="4"/>
        </w:numPr>
        <w:tabs>
          <w:tab w:pos="939" w:val="left" w:leader="none"/>
          <w:tab w:pos="940" w:val="left" w:leader="none"/>
        </w:tabs>
        <w:spacing w:line="240" w:lineRule="auto" w:before="78" w:after="0"/>
        <w:ind w:left="940" w:right="0" w:hanging="720"/>
        <w:jc w:val="left"/>
      </w:pPr>
      <w:r>
        <w:rPr/>
        <w:t>Introduction</w:t>
      </w:r>
    </w:p>
    <w:p>
      <w:pPr>
        <w:pStyle w:val="BodyText"/>
        <w:spacing w:before="6"/>
        <w:rPr>
          <w:b/>
          <w:sz w:val="26"/>
        </w:rPr>
      </w:pPr>
    </w:p>
    <w:p>
      <w:pPr>
        <w:pStyle w:val="BodyText"/>
        <w:spacing w:line="276" w:lineRule="auto" w:before="1"/>
        <w:ind w:left="220" w:right="596"/>
      </w:pPr>
      <w:r>
        <w:rPr/>
        <w:t>HAND staff coordinate with numerous boards, non-profit agencies, health and housing service providers, and community members to provide a comprehensive suite of services to the community. We coordinate with a variety of stakeholders to provide input in to our Consolidated and Annual Action Plans, to coordinate various housing services to the homeless, those seeking housing, and providing housing assistance services. This coordination takes on many forms from the sharing of information, to attending each other respective board meetings, to providing statistical information on housing needs within the Bloomington community. The department engaged elected officials, non-profit organizations, community volunteers and others to gain input on how qualifying populations at risk of homelessness can be served in the community.</w:t>
      </w:r>
    </w:p>
    <w:p>
      <w:pPr>
        <w:pStyle w:val="BodyText"/>
        <w:spacing w:before="11"/>
      </w:pPr>
    </w:p>
    <w:p>
      <w:pPr>
        <w:pStyle w:val="BodyText"/>
        <w:spacing w:line="276" w:lineRule="auto"/>
        <w:ind w:left="220" w:right="887"/>
      </w:pPr>
      <w:r>
        <w:rPr/>
        <w:t>For CDBG projects the Citizen Advisory Committee (CAC), who makes funding recommendations, is comprised of members selected through an application process facilitated by the Mayor’s office with the goal of diverse representation from the community. HAND also receives citizen input through a variety of boards and commissions including the Redevelopment Commission, Historic Preservation Commission, and Board of Housing Quality Appeals.</w:t>
      </w:r>
    </w:p>
    <w:p>
      <w:pPr>
        <w:pStyle w:val="BodyText"/>
        <w:spacing w:before="12"/>
      </w:pPr>
    </w:p>
    <w:p>
      <w:pPr>
        <w:pStyle w:val="Heading4"/>
        <w:spacing w:line="276" w:lineRule="auto"/>
        <w:ind w:right="846"/>
        <w:jc w:val="both"/>
      </w:pPr>
      <w:r>
        <w:rPr/>
        <w:t>Provide a concise summary of the jurisdiction’s activities to enhance coordination between public and assisted housing providers and private and governmental health, mental health and service agencies (91.215(I)).</w:t>
      </w:r>
    </w:p>
    <w:p>
      <w:pPr>
        <w:pStyle w:val="BodyText"/>
        <w:spacing w:before="11"/>
        <w:rPr>
          <w:b/>
        </w:rPr>
      </w:pPr>
    </w:p>
    <w:p>
      <w:pPr>
        <w:pStyle w:val="BodyText"/>
        <w:spacing w:line="276" w:lineRule="auto"/>
        <w:ind w:left="220" w:right="621"/>
      </w:pPr>
      <w:r>
        <w:rPr/>
        <w:t>The City of Bloomington’s Housing &amp; Neighborhood Development Department coordinates with a number of boards, committees and organizations to better meet the needs of the community including:</w:t>
      </w:r>
    </w:p>
    <w:p>
      <w:pPr>
        <w:pStyle w:val="BodyText"/>
        <w:spacing w:before="7"/>
      </w:pPr>
    </w:p>
    <w:p>
      <w:pPr>
        <w:pStyle w:val="ListParagraph"/>
        <w:numPr>
          <w:ilvl w:val="1"/>
          <w:numId w:val="4"/>
        </w:numPr>
        <w:tabs>
          <w:tab w:pos="939" w:val="left" w:leader="none"/>
          <w:tab w:pos="940" w:val="left" w:leader="none"/>
        </w:tabs>
        <w:spacing w:line="276" w:lineRule="auto" w:before="0" w:after="0"/>
        <w:ind w:left="940" w:right="576" w:hanging="360"/>
        <w:jc w:val="left"/>
        <w:rPr>
          <w:sz w:val="22"/>
        </w:rPr>
      </w:pPr>
      <w:r>
        <w:rPr>
          <w:b/>
          <w:position w:val="1"/>
          <w:sz w:val="22"/>
        </w:rPr>
        <w:t>South Central Housing Network: </w:t>
      </w:r>
      <w:r>
        <w:rPr>
          <w:position w:val="1"/>
          <w:sz w:val="22"/>
        </w:rPr>
        <w:t>SCHN is a consortium of housing providers that oversee </w:t>
      </w:r>
      <w:r>
        <w:rPr>
          <w:spacing w:val="-3"/>
          <w:position w:val="1"/>
          <w:sz w:val="22"/>
        </w:rPr>
        <w:t>Region</w:t>
      </w:r>
      <w:r>
        <w:rPr>
          <w:spacing w:val="-3"/>
          <w:sz w:val="22"/>
        </w:rPr>
        <w:t> </w:t>
      </w:r>
      <w:r>
        <w:rPr>
          <w:sz w:val="22"/>
        </w:rPr>
        <w:t>10's Balance of State McKinney-Vento Continuum of Care funding. Approximately 25 organizations are part of the South Central Housing Network including the City of Bloomington HAND staff who meet every other month.</w:t>
      </w:r>
    </w:p>
    <w:p>
      <w:pPr>
        <w:pStyle w:val="ListParagraph"/>
        <w:numPr>
          <w:ilvl w:val="1"/>
          <w:numId w:val="4"/>
        </w:numPr>
        <w:tabs>
          <w:tab w:pos="939" w:val="left" w:leader="none"/>
          <w:tab w:pos="940" w:val="left" w:leader="none"/>
        </w:tabs>
        <w:spacing w:line="276" w:lineRule="auto" w:before="0" w:after="0"/>
        <w:ind w:left="940" w:right="675" w:hanging="360"/>
        <w:jc w:val="left"/>
        <w:rPr>
          <w:sz w:val="22"/>
        </w:rPr>
      </w:pPr>
      <w:r>
        <w:rPr>
          <w:b/>
          <w:position w:val="1"/>
          <w:sz w:val="22"/>
        </w:rPr>
        <w:t>Bloomington Housing Authority Board: </w:t>
      </w:r>
      <w:r>
        <w:rPr>
          <w:position w:val="1"/>
          <w:sz w:val="22"/>
        </w:rPr>
        <w:t>At least one HAND staff member attends each </w:t>
      </w:r>
      <w:r>
        <w:rPr>
          <w:spacing w:val="-3"/>
          <w:position w:val="1"/>
          <w:sz w:val="22"/>
        </w:rPr>
        <w:t>monthly</w:t>
      </w:r>
      <w:r>
        <w:rPr>
          <w:spacing w:val="-3"/>
          <w:sz w:val="22"/>
        </w:rPr>
        <w:t> </w:t>
      </w:r>
      <w:r>
        <w:rPr>
          <w:sz w:val="22"/>
        </w:rPr>
        <w:t>BHA board meeting in an effort to better coordinate programs and efforts designed to address affordable housing. This coordination allows both our agencies to address housing and supportive services comprehensively across the city. HAND also partnered with the BHA’s Community Development Corporation on the formation of a Community Land Trust (CLT) to create an additional vehicle for affordable housing, and the creation of a Landlord Risk Mitigation Fund (LLRMF) to help open opportunities for high-risk renters to obtain housing in our community.</w:t>
      </w:r>
    </w:p>
    <w:p>
      <w:pPr>
        <w:spacing w:after="0" w:line="276" w:lineRule="auto"/>
        <w:jc w:val="left"/>
        <w:rPr>
          <w:sz w:val="22"/>
        </w:rPr>
        <w:sectPr>
          <w:pgSz w:w="12240" w:h="15840"/>
          <w:pgMar w:header="769" w:footer="1321" w:top="1340" w:bottom="1540" w:left="1220" w:right="880"/>
        </w:sectPr>
      </w:pPr>
    </w:p>
    <w:p>
      <w:pPr>
        <w:pStyle w:val="ListParagraph"/>
        <w:numPr>
          <w:ilvl w:val="1"/>
          <w:numId w:val="4"/>
        </w:numPr>
        <w:tabs>
          <w:tab w:pos="939" w:val="left" w:leader="none"/>
          <w:tab w:pos="940" w:val="left" w:leader="none"/>
        </w:tabs>
        <w:spacing w:line="276" w:lineRule="auto" w:before="90" w:after="0"/>
        <w:ind w:left="940" w:right="1194" w:hanging="360"/>
        <w:jc w:val="left"/>
        <w:rPr>
          <w:sz w:val="22"/>
        </w:rPr>
      </w:pPr>
      <w:r>
        <w:rPr>
          <w:b/>
          <w:position w:val="1"/>
          <w:sz w:val="22"/>
        </w:rPr>
        <w:t>Monroe County Apartment Association: </w:t>
      </w:r>
      <w:r>
        <w:rPr>
          <w:position w:val="1"/>
          <w:sz w:val="22"/>
        </w:rPr>
        <w:t>HAND regularly presents at the Monroe County</w:t>
      </w:r>
      <w:r>
        <w:rPr>
          <w:sz w:val="22"/>
        </w:rPr>
        <w:t> Apartment Association (MCAA) and has held Landlord Expos and Tenant Fairs to inform landlords about affordable housing and Section 8 programs. Our goal is to put a face to affordable housing and help landlords understand the importance of providing affordable housing in our community.</w:t>
      </w:r>
    </w:p>
    <w:p>
      <w:pPr>
        <w:pStyle w:val="ListParagraph"/>
        <w:numPr>
          <w:ilvl w:val="1"/>
          <w:numId w:val="4"/>
        </w:numPr>
        <w:tabs>
          <w:tab w:pos="939" w:val="left" w:leader="none"/>
          <w:tab w:pos="940" w:val="left" w:leader="none"/>
        </w:tabs>
        <w:spacing w:line="276" w:lineRule="auto" w:before="0" w:after="0"/>
        <w:ind w:left="940" w:right="634" w:hanging="360"/>
        <w:jc w:val="left"/>
        <w:rPr>
          <w:sz w:val="22"/>
        </w:rPr>
      </w:pPr>
      <w:r>
        <w:rPr>
          <w:b/>
          <w:position w:val="1"/>
          <w:sz w:val="22"/>
        </w:rPr>
        <w:t>Builders Association of South Central Indiana: </w:t>
      </w:r>
      <w:r>
        <w:rPr>
          <w:position w:val="1"/>
          <w:sz w:val="22"/>
        </w:rPr>
        <w:t>HAND regularly attends and presents at </w:t>
      </w:r>
      <w:r>
        <w:rPr>
          <w:spacing w:val="-3"/>
          <w:position w:val="1"/>
          <w:sz w:val="22"/>
        </w:rPr>
        <w:t>monthly</w:t>
      </w:r>
      <w:r>
        <w:rPr>
          <w:spacing w:val="-3"/>
          <w:sz w:val="22"/>
        </w:rPr>
        <w:t> </w:t>
      </w:r>
      <w:r>
        <w:rPr>
          <w:sz w:val="22"/>
        </w:rPr>
        <w:t>BASCI meetings to better collaborate on barriers to affordable housing including construction and development obstacles such as ordinances.</w:t>
      </w:r>
    </w:p>
    <w:p>
      <w:pPr>
        <w:pStyle w:val="ListParagraph"/>
        <w:numPr>
          <w:ilvl w:val="1"/>
          <w:numId w:val="4"/>
        </w:numPr>
        <w:tabs>
          <w:tab w:pos="939" w:val="left" w:leader="none"/>
          <w:tab w:pos="940" w:val="left" w:leader="none"/>
        </w:tabs>
        <w:spacing w:line="276" w:lineRule="auto" w:before="0" w:after="0"/>
        <w:ind w:left="940" w:right="660" w:hanging="360"/>
        <w:jc w:val="left"/>
        <w:rPr>
          <w:sz w:val="22"/>
        </w:rPr>
      </w:pPr>
      <w:r>
        <w:rPr>
          <w:b/>
          <w:position w:val="1"/>
          <w:sz w:val="22"/>
        </w:rPr>
        <w:t>Indiana University: </w:t>
      </w:r>
      <w:r>
        <w:rPr>
          <w:position w:val="1"/>
          <w:sz w:val="22"/>
        </w:rPr>
        <w:t>HAND participates in a number of Indiana University events to engage the</w:t>
      </w:r>
      <w:r>
        <w:rPr>
          <w:sz w:val="22"/>
        </w:rPr>
        <w:t> student population to bring awareness to tenant and landlord rights and responsibilities and other resources available to ensure positive community participation. In addition, the City of Bloomington regularly engages with Indiana University on a number of community projects </w:t>
      </w:r>
      <w:r>
        <w:rPr>
          <w:spacing w:val="-6"/>
          <w:sz w:val="22"/>
        </w:rPr>
        <w:t>and </w:t>
      </w:r>
      <w:r>
        <w:rPr>
          <w:sz w:val="22"/>
        </w:rPr>
        <w:t>studies.</w:t>
      </w:r>
    </w:p>
    <w:p>
      <w:pPr>
        <w:pStyle w:val="ListParagraph"/>
        <w:numPr>
          <w:ilvl w:val="1"/>
          <w:numId w:val="4"/>
        </w:numPr>
        <w:tabs>
          <w:tab w:pos="939" w:val="left" w:leader="none"/>
          <w:tab w:pos="940" w:val="left" w:leader="none"/>
        </w:tabs>
        <w:spacing w:line="276" w:lineRule="auto" w:before="0" w:after="0"/>
        <w:ind w:left="940" w:right="1019" w:hanging="360"/>
        <w:jc w:val="left"/>
        <w:rPr>
          <w:sz w:val="22"/>
        </w:rPr>
      </w:pPr>
      <w:r>
        <w:rPr>
          <w:b/>
          <w:position w:val="1"/>
          <w:sz w:val="22"/>
        </w:rPr>
        <w:t>Homebuyers Club: </w:t>
      </w:r>
      <w:r>
        <w:rPr>
          <w:position w:val="1"/>
          <w:sz w:val="22"/>
        </w:rPr>
        <w:t>HAND provides a homebuyers class three or four times per year. </w:t>
      </w:r>
      <w:r>
        <w:rPr>
          <w:spacing w:val="-3"/>
          <w:position w:val="1"/>
          <w:sz w:val="22"/>
        </w:rPr>
        <w:t>During</w:t>
      </w:r>
      <w:r>
        <w:rPr>
          <w:spacing w:val="-3"/>
          <w:sz w:val="22"/>
        </w:rPr>
        <w:t> </w:t>
      </w:r>
      <w:r>
        <w:rPr>
          <w:sz w:val="22"/>
        </w:rPr>
        <w:t>these classes we coordinate with banks, title companies, realtors, and other housing professionals to provide educational materials for new homebuyers. These classes provide opportunities for people to learn more about becoming a homeowner and qualifies each participant for down payment assistance (income qualifications apply).</w:t>
      </w:r>
    </w:p>
    <w:p>
      <w:pPr>
        <w:pStyle w:val="BodyText"/>
        <w:rPr>
          <w:sz w:val="23"/>
        </w:rPr>
      </w:pPr>
    </w:p>
    <w:p>
      <w:pPr>
        <w:pStyle w:val="Heading4"/>
        <w:spacing w:line="276" w:lineRule="auto"/>
        <w:ind w:right="908"/>
      </w:pPr>
      <w:r>
        <w:rPr/>
        <w:t>Describe coordination with the Continuum of Care and efforts to address the needs of homeless persons (particularly chronically homeless individuals and families, families with children, veterans, and unaccompanied youth) and persons at risk of homelessness</w:t>
      </w:r>
    </w:p>
    <w:p>
      <w:pPr>
        <w:pStyle w:val="BodyText"/>
        <w:spacing w:before="11"/>
        <w:rPr>
          <w:b/>
        </w:rPr>
      </w:pPr>
    </w:p>
    <w:p>
      <w:pPr>
        <w:pStyle w:val="BodyText"/>
        <w:spacing w:line="276" w:lineRule="auto"/>
        <w:ind w:left="220" w:right="730"/>
      </w:pPr>
      <w:r>
        <w:rPr/>
        <w:t>The South Central Housing Network is the Indiana Continuum of Care Region 10 Balance of State lead entity that coordinates the homeless continuum of care for Bloomington, Monroe County and surrounding counties. HAND is a member of SCHN, attends member meetings as well as participates in subcommittee work such as the Coordinated Entry Policy &amp; Procedures work group.</w:t>
      </w:r>
    </w:p>
    <w:p>
      <w:pPr>
        <w:pStyle w:val="BodyText"/>
        <w:rPr>
          <w:sz w:val="23"/>
        </w:rPr>
      </w:pPr>
    </w:p>
    <w:p>
      <w:pPr>
        <w:pStyle w:val="BodyText"/>
        <w:spacing w:line="276" w:lineRule="auto"/>
        <w:ind w:left="220" w:right="688"/>
      </w:pPr>
      <w:r>
        <w:rPr/>
        <w:t>A partnership was formed between the Community Foundation, Monroe County, United Way, South Central Housing Network and the Housing Insecurity Working Group, to create the Heading Home initiative. The City of Bloomington and Monroe County government pledged to support this initiative in order to make homelessness rare, brief and non-repeating. This is being done through the implementation of the Heading Home Plan. In 2024, HAND supported an initiative implemented by Heading Home that created a Data Dashboard to track and provide housing and homeless data as a significant measure of need and progress. HAND consults on an ongoing basis with the director of Heading Home, participates in coordination events to encourage and support property owners that accept Housing Choice Vouchers, and best-practice trainings.</w:t>
      </w:r>
    </w:p>
    <w:p>
      <w:pPr>
        <w:pStyle w:val="BodyText"/>
        <w:spacing w:before="11"/>
      </w:pPr>
    </w:p>
    <w:p>
      <w:pPr>
        <w:pStyle w:val="Heading4"/>
        <w:spacing w:line="276" w:lineRule="auto" w:before="1"/>
        <w:ind w:right="1071"/>
      </w:pPr>
      <w:r>
        <w:rPr/>
        <w:t>Describe consultation with the Continuum(s) of Care that serves the jurisdiction's area in determining how to allocate ESG funds, develop performance standards and evaluate outcomes, and develop funding, policies and procedures for the administration of HMIS</w:t>
      </w:r>
    </w:p>
    <w:p>
      <w:pPr>
        <w:spacing w:after="0" w:line="276" w:lineRule="auto"/>
        <w:sectPr>
          <w:pgSz w:w="12240" w:h="15840"/>
          <w:pgMar w:header="769" w:footer="1321" w:top="1340" w:bottom="1540" w:left="1220" w:right="880"/>
        </w:sectPr>
      </w:pPr>
    </w:p>
    <w:p>
      <w:pPr>
        <w:pStyle w:val="BodyText"/>
        <w:spacing w:line="276" w:lineRule="auto" w:before="94"/>
        <w:ind w:left="220" w:right="602"/>
      </w:pPr>
      <w:r>
        <w:rPr/>
        <w:t>The City of Bloomington is part of the Indiana Balance of State Continuum of Care (BOS CoC). The BOS CoC is divided into 16 regions, with Bloomington being a part of Region 10. Each region has a planning council and chairperson and meets regularly with other councils to develop and implement strategies to alleviate homelessness.</w:t>
      </w:r>
    </w:p>
    <w:p>
      <w:pPr>
        <w:pStyle w:val="BodyText"/>
        <w:spacing w:before="11"/>
      </w:pPr>
    </w:p>
    <w:p>
      <w:pPr>
        <w:pStyle w:val="BodyText"/>
        <w:ind w:left="220"/>
      </w:pPr>
      <w:r>
        <w:rPr/>
        <w:t>The City does not receive ESG funds directly.</w:t>
      </w:r>
    </w:p>
    <w:p>
      <w:pPr>
        <w:pStyle w:val="BodyText"/>
        <w:spacing w:before="3"/>
        <w:rPr>
          <w:sz w:val="26"/>
        </w:rPr>
      </w:pPr>
    </w:p>
    <w:p>
      <w:pPr>
        <w:pStyle w:val="Heading4"/>
        <w:numPr>
          <w:ilvl w:val="0"/>
          <w:numId w:val="4"/>
        </w:numPr>
        <w:tabs>
          <w:tab w:pos="940" w:val="left" w:leader="none"/>
        </w:tabs>
        <w:spacing w:line="276" w:lineRule="auto" w:before="0" w:after="0"/>
        <w:ind w:left="220" w:right="813" w:firstLine="0"/>
        <w:jc w:val="both"/>
      </w:pPr>
      <w:r>
        <w:rPr/>
        <w:t>Describe Agencies, groups, organizations and others who participated in the </w:t>
      </w:r>
      <w:r>
        <w:rPr>
          <w:spacing w:val="-3"/>
        </w:rPr>
        <w:t>process </w:t>
      </w:r>
      <w:r>
        <w:rPr/>
        <w:t>and describe the jurisdictions consultations with housing, social service agencies and other entities</w:t>
      </w:r>
    </w:p>
    <w:p>
      <w:pPr>
        <w:pStyle w:val="BodyText"/>
        <w:rPr>
          <w:b/>
          <w:sz w:val="20"/>
        </w:rPr>
      </w:pPr>
    </w:p>
    <w:p>
      <w:pPr>
        <w:pStyle w:val="BodyText"/>
        <w:spacing w:before="1"/>
        <w:rPr>
          <w:b/>
          <w:sz w:val="18"/>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403" w:hRule="atLeast"/>
        </w:trPr>
        <w:tc>
          <w:tcPr>
            <w:tcW w:w="440" w:type="dxa"/>
            <w:vMerge w:val="restart"/>
          </w:tcPr>
          <w:p>
            <w:pPr>
              <w:pStyle w:val="TableParagraph"/>
              <w:spacing w:before="101"/>
              <w:ind w:left="112"/>
              <w:rPr>
                <w:sz w:val="22"/>
              </w:rPr>
            </w:pPr>
            <w:r>
              <w:rPr>
                <w:sz w:val="22"/>
              </w:rPr>
              <w:t>1</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City of Bloomington</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Other government - Local</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316"/>
              <w:rPr>
                <w:b/>
                <w:sz w:val="22"/>
              </w:rPr>
            </w:pPr>
            <w:r>
              <w:rPr>
                <w:b/>
                <w:sz w:val="22"/>
              </w:rPr>
              <w:t>What section of the Plan was addressed by Consultation?</w:t>
            </w:r>
          </w:p>
        </w:tc>
        <w:tc>
          <w:tcPr>
            <w:tcW w:w="4800" w:type="dxa"/>
          </w:tcPr>
          <w:p>
            <w:pPr>
              <w:pStyle w:val="TableParagraph"/>
              <w:spacing w:line="276" w:lineRule="auto" w:before="101"/>
              <w:ind w:left="112" w:right="2297"/>
              <w:rPr>
                <w:sz w:val="22"/>
              </w:rPr>
            </w:pPr>
            <w:r>
              <w:rPr>
                <w:sz w:val="22"/>
              </w:rPr>
              <w:t>Housing Need Assessment Homelessness Strategy</w:t>
            </w:r>
          </w:p>
          <w:p>
            <w:pPr>
              <w:pStyle w:val="TableParagraph"/>
              <w:ind w:left="112"/>
              <w:rPr>
                <w:sz w:val="22"/>
              </w:rPr>
            </w:pPr>
            <w:r>
              <w:rPr>
                <w:sz w:val="22"/>
              </w:rPr>
              <w:t>Non-Homeless Special Needs</w:t>
            </w:r>
          </w:p>
          <w:p>
            <w:pPr>
              <w:pStyle w:val="TableParagraph"/>
              <w:spacing w:before="41"/>
              <w:ind w:left="112"/>
              <w:rPr>
                <w:sz w:val="22"/>
              </w:rPr>
            </w:pPr>
            <w:r>
              <w:rPr>
                <w:sz w:val="22"/>
              </w:rPr>
              <w:t>Economic Development</w:t>
            </w:r>
          </w:p>
        </w:tc>
      </w:tr>
      <w:tr>
        <w:trPr>
          <w:trHeight w:val="2756"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line="364" w:lineRule="auto" w:before="101"/>
              <w:ind w:left="112" w:right="940"/>
              <w:rPr>
                <w:sz w:val="22"/>
              </w:rPr>
            </w:pPr>
            <w:r>
              <w:rPr>
                <w:sz w:val="22"/>
              </w:rPr>
              <w:t>Housing and Neighborhood Development Police Department</w:t>
            </w:r>
          </w:p>
          <w:p>
            <w:pPr>
              <w:pStyle w:val="TableParagraph"/>
              <w:spacing w:before="2"/>
              <w:ind w:left="112"/>
              <w:rPr>
                <w:sz w:val="22"/>
              </w:rPr>
            </w:pPr>
            <w:r>
              <w:rPr>
                <w:sz w:val="22"/>
              </w:rPr>
              <w:t>Mayor’s Office</w:t>
            </w:r>
          </w:p>
          <w:p>
            <w:pPr>
              <w:pStyle w:val="TableParagraph"/>
              <w:spacing w:line="364" w:lineRule="auto" w:before="140"/>
              <w:ind w:left="112" w:right="2265"/>
              <w:rPr>
                <w:sz w:val="22"/>
              </w:rPr>
            </w:pPr>
            <w:r>
              <w:rPr>
                <w:sz w:val="22"/>
              </w:rPr>
              <w:t>Human Rights Commission Council for Accessibility</w:t>
            </w:r>
          </w:p>
          <w:p>
            <w:pPr>
              <w:pStyle w:val="TableParagraph"/>
              <w:spacing w:before="1"/>
              <w:ind w:left="112"/>
              <w:rPr>
                <w:sz w:val="22"/>
              </w:rPr>
            </w:pPr>
            <w:r>
              <w:rPr>
                <w:sz w:val="22"/>
              </w:rPr>
              <w:t>All City organizations attended stakeholder</w:t>
            </w:r>
          </w:p>
          <w:p>
            <w:pPr>
              <w:pStyle w:val="TableParagraph"/>
              <w:spacing w:before="40"/>
              <w:ind w:left="112"/>
              <w:rPr>
                <w:sz w:val="22"/>
              </w:rPr>
            </w:pPr>
            <w:r>
              <w:rPr>
                <w:sz w:val="22"/>
              </w:rPr>
              <w:t>meetings and/or the public meetings.</w:t>
            </w:r>
          </w:p>
        </w:tc>
      </w:tr>
      <w:tr>
        <w:trPr>
          <w:trHeight w:val="403" w:hRule="atLeast"/>
        </w:trPr>
        <w:tc>
          <w:tcPr>
            <w:tcW w:w="440" w:type="dxa"/>
            <w:vMerge w:val="restart"/>
          </w:tcPr>
          <w:p>
            <w:pPr>
              <w:pStyle w:val="TableParagraph"/>
              <w:spacing w:before="101"/>
              <w:ind w:left="112"/>
              <w:rPr>
                <w:sz w:val="22"/>
              </w:rPr>
            </w:pPr>
            <w:r>
              <w:rPr>
                <w:sz w:val="22"/>
              </w:rPr>
              <w:t>2</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Bloomington Housing Authority</w:t>
            </w:r>
          </w:p>
        </w:tc>
      </w:tr>
      <w:tr>
        <w:trPr>
          <w:trHeight w:val="1021"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line="276" w:lineRule="auto" w:before="101"/>
              <w:ind w:left="112" w:right="3928"/>
              <w:rPr>
                <w:sz w:val="22"/>
              </w:rPr>
            </w:pPr>
            <w:r>
              <w:rPr>
                <w:sz w:val="22"/>
              </w:rPr>
              <w:t>Housing PHA</w:t>
            </w:r>
          </w:p>
          <w:p>
            <w:pPr>
              <w:pStyle w:val="TableParagraph"/>
              <w:ind w:left="112"/>
              <w:rPr>
                <w:sz w:val="22"/>
              </w:rPr>
            </w:pPr>
            <w:r>
              <w:rPr>
                <w:sz w:val="22"/>
              </w:rPr>
              <w:t>Services - Housing</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Public Housing Needs</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line="276" w:lineRule="auto" w:before="101"/>
              <w:ind w:left="112" w:right="181"/>
              <w:rPr>
                <w:sz w:val="22"/>
              </w:rPr>
            </w:pPr>
            <w:r>
              <w:rPr>
                <w:sz w:val="22"/>
              </w:rPr>
              <w:t>This agency was consulted via stakeholder session and data was used to generate the NA and MA sections regarding public housing.</w:t>
            </w:r>
          </w:p>
        </w:tc>
      </w:tr>
      <w:tr>
        <w:trPr>
          <w:trHeight w:val="403" w:hRule="atLeast"/>
        </w:trPr>
        <w:tc>
          <w:tcPr>
            <w:tcW w:w="440" w:type="dxa"/>
          </w:tcPr>
          <w:p>
            <w:pPr>
              <w:pStyle w:val="TableParagraph"/>
              <w:spacing w:before="101"/>
              <w:ind w:left="112"/>
              <w:rPr>
                <w:sz w:val="22"/>
              </w:rPr>
            </w:pPr>
            <w:r>
              <w:rPr>
                <w:sz w:val="22"/>
              </w:rPr>
              <w:t>3</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South Central Housing Network</w:t>
            </w:r>
          </w:p>
        </w:tc>
      </w:tr>
    </w:tbl>
    <w:p>
      <w:pPr>
        <w:spacing w:after="0"/>
        <w:rPr>
          <w:sz w:val="22"/>
        </w:rPr>
        <w:sectPr>
          <w:pgSz w:w="12240" w:h="15840"/>
          <w:pgMar w:header="769" w:footer="1321" w:top="1340" w:bottom="152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3492" w:hRule="atLeast"/>
        </w:trPr>
        <w:tc>
          <w:tcPr>
            <w:tcW w:w="440" w:type="dxa"/>
            <w:vMerge w:val="restart"/>
          </w:tcPr>
          <w:p>
            <w:pPr>
              <w:pStyle w:val="TableParagraph"/>
              <w:rPr>
                <w:rFonts w:ascii="Times New Roman"/>
                <w:sz w:val="20"/>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line="276" w:lineRule="auto" w:before="101"/>
              <w:ind w:left="112" w:right="3928"/>
              <w:rPr>
                <w:sz w:val="22"/>
              </w:rPr>
            </w:pPr>
            <w:r>
              <w:rPr>
                <w:sz w:val="22"/>
              </w:rPr>
              <w:t>Housing PHA</w:t>
            </w:r>
          </w:p>
          <w:p>
            <w:pPr>
              <w:pStyle w:val="TableParagraph"/>
              <w:spacing w:line="276" w:lineRule="auto"/>
              <w:ind w:left="112" w:right="2514"/>
              <w:rPr>
                <w:sz w:val="22"/>
              </w:rPr>
            </w:pPr>
            <w:r>
              <w:rPr>
                <w:sz w:val="22"/>
              </w:rPr>
              <w:t>Services - Housing Services-Children Services-Elderly Persons</w:t>
            </w:r>
          </w:p>
          <w:p>
            <w:pPr>
              <w:pStyle w:val="TableParagraph"/>
              <w:spacing w:line="276" w:lineRule="auto"/>
              <w:ind w:left="112" w:right="1281"/>
              <w:rPr>
                <w:sz w:val="22"/>
              </w:rPr>
            </w:pPr>
            <w:r>
              <w:rPr>
                <w:sz w:val="22"/>
              </w:rPr>
              <w:t>Services-Persons with Disabilities Services-Persons with HIV/AIDS Services-Victims of Domestic Violence Services-homeless</w:t>
            </w:r>
          </w:p>
          <w:p>
            <w:pPr>
              <w:pStyle w:val="TableParagraph"/>
              <w:ind w:left="112"/>
              <w:rPr>
                <w:sz w:val="22"/>
              </w:rPr>
            </w:pPr>
            <w:r>
              <w:rPr>
                <w:sz w:val="22"/>
              </w:rPr>
              <w:t>Services-Health</w:t>
            </w:r>
          </w:p>
          <w:p>
            <w:pPr>
              <w:pStyle w:val="TableParagraph"/>
              <w:spacing w:before="41"/>
              <w:ind w:left="112"/>
              <w:rPr>
                <w:sz w:val="22"/>
              </w:rPr>
            </w:pPr>
            <w:r>
              <w:rPr>
                <w:sz w:val="22"/>
              </w:rPr>
              <w:t>Service-Fair Housing</w:t>
            </w:r>
          </w:p>
        </w:tc>
      </w:tr>
      <w:tr>
        <w:trPr>
          <w:trHeight w:val="2256"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316"/>
              <w:rPr>
                <w:b/>
                <w:sz w:val="22"/>
              </w:rPr>
            </w:pPr>
            <w:r>
              <w:rPr>
                <w:b/>
                <w:sz w:val="22"/>
              </w:rPr>
              <w:t>What section of the Plan was addressed by Consultation?</w:t>
            </w:r>
          </w:p>
        </w:tc>
        <w:tc>
          <w:tcPr>
            <w:tcW w:w="4800" w:type="dxa"/>
          </w:tcPr>
          <w:p>
            <w:pPr>
              <w:pStyle w:val="TableParagraph"/>
              <w:spacing w:line="276" w:lineRule="auto" w:before="101"/>
              <w:ind w:left="112" w:right="2297"/>
              <w:rPr>
                <w:sz w:val="22"/>
              </w:rPr>
            </w:pPr>
            <w:r>
              <w:rPr>
                <w:sz w:val="22"/>
              </w:rPr>
              <w:t>Housing Need Assessment Public Housing Needs</w:t>
            </w:r>
          </w:p>
          <w:p>
            <w:pPr>
              <w:pStyle w:val="TableParagraph"/>
              <w:spacing w:line="276" w:lineRule="auto"/>
              <w:ind w:left="112" w:right="584"/>
              <w:rPr>
                <w:sz w:val="22"/>
              </w:rPr>
            </w:pPr>
            <w:r>
              <w:rPr>
                <w:sz w:val="22"/>
              </w:rPr>
              <w:t>Homeless Needs - Chronically homeless Homeless Needs - Families with children Homelessness Needs - Veterans Homelessness Needs - Unaccompanied youth</w:t>
            </w:r>
          </w:p>
          <w:p>
            <w:pPr>
              <w:pStyle w:val="TableParagraph"/>
              <w:ind w:left="112"/>
              <w:rPr>
                <w:sz w:val="22"/>
              </w:rPr>
            </w:pPr>
            <w:r>
              <w:rPr>
                <w:sz w:val="22"/>
              </w:rPr>
              <w:t>Homelessness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4</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Beacon, Inc.</w:t>
            </w:r>
          </w:p>
        </w:tc>
      </w:tr>
      <w:tr>
        <w:trPr>
          <w:trHeight w:val="2256"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Services-Elderly Persons</w:t>
            </w:r>
          </w:p>
          <w:p>
            <w:pPr>
              <w:pStyle w:val="TableParagraph"/>
              <w:spacing w:line="276" w:lineRule="auto" w:before="41"/>
              <w:ind w:left="112" w:right="1713"/>
              <w:rPr>
                <w:sz w:val="22"/>
              </w:rPr>
            </w:pPr>
            <w:r>
              <w:rPr>
                <w:sz w:val="22"/>
              </w:rPr>
              <w:t>Services-Persons with </w:t>
            </w:r>
            <w:r>
              <w:rPr>
                <w:spacing w:val="-2"/>
                <w:sz w:val="22"/>
              </w:rPr>
              <w:t>Disabilities </w:t>
            </w:r>
            <w:r>
              <w:rPr>
                <w:sz w:val="22"/>
              </w:rPr>
              <w:t>Services-Persons with HIV/AIDS Services-homeless</w:t>
            </w:r>
          </w:p>
          <w:p>
            <w:pPr>
              <w:pStyle w:val="TableParagraph"/>
              <w:spacing w:line="276" w:lineRule="auto"/>
              <w:ind w:left="112" w:right="2984"/>
              <w:rPr>
                <w:sz w:val="22"/>
              </w:rPr>
            </w:pPr>
            <w:r>
              <w:rPr>
                <w:sz w:val="22"/>
              </w:rPr>
              <w:t>Services-Health Services-Education</w:t>
            </w:r>
          </w:p>
          <w:p>
            <w:pPr>
              <w:pStyle w:val="TableParagraph"/>
              <w:ind w:left="112"/>
              <w:rPr>
                <w:sz w:val="22"/>
              </w:rPr>
            </w:pPr>
            <w:r>
              <w:rPr>
                <w:sz w:val="22"/>
              </w:rPr>
              <w:t>Services-Employment</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584"/>
              <w:rPr>
                <w:sz w:val="22"/>
              </w:rPr>
            </w:pPr>
            <w:r>
              <w:rPr>
                <w:sz w:val="22"/>
              </w:rPr>
              <w:t>Homeless Needs - Chronically homeless Homeless Needs - Families with children Homelessness Needs - Veterans Homelessness Needs - Unaccompanied youth Homelessness Strategy</w:t>
            </w:r>
          </w:p>
        </w:tc>
      </w:tr>
    </w:tbl>
    <w:p>
      <w:pPr>
        <w:spacing w:after="0" w:line="310" w:lineRule="atLeast"/>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1639" w:hRule="atLeast"/>
        </w:trPr>
        <w:tc>
          <w:tcPr>
            <w:tcW w:w="440" w:type="dxa"/>
          </w:tcPr>
          <w:p>
            <w:pPr>
              <w:pStyle w:val="TableParagraph"/>
              <w:rPr>
                <w:rFonts w:ascii="Times New Roman"/>
                <w:sz w:val="20"/>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5</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Centerstone of Indiana</w:t>
            </w:r>
          </w:p>
        </w:tc>
      </w:tr>
      <w:tr>
        <w:trPr>
          <w:trHeight w:val="1639"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 - Housing</w:t>
            </w:r>
          </w:p>
          <w:p>
            <w:pPr>
              <w:pStyle w:val="TableParagraph"/>
              <w:spacing w:line="276" w:lineRule="auto" w:before="41"/>
              <w:ind w:left="112" w:right="1713"/>
              <w:rPr>
                <w:sz w:val="22"/>
              </w:rPr>
            </w:pPr>
            <w:r>
              <w:rPr>
                <w:sz w:val="22"/>
              </w:rPr>
              <w:t>Services-Persons with </w:t>
            </w:r>
            <w:r>
              <w:rPr>
                <w:spacing w:val="-2"/>
                <w:sz w:val="22"/>
              </w:rPr>
              <w:t>Disabilities </w:t>
            </w:r>
            <w:r>
              <w:rPr>
                <w:sz w:val="22"/>
              </w:rPr>
              <w:t>Services-Health</w:t>
            </w:r>
          </w:p>
          <w:p>
            <w:pPr>
              <w:pStyle w:val="TableParagraph"/>
              <w:ind w:left="112"/>
              <w:rPr>
                <w:sz w:val="22"/>
              </w:rPr>
            </w:pPr>
            <w:r>
              <w:rPr>
                <w:sz w:val="22"/>
              </w:rPr>
              <w:t>Health Agency</w:t>
            </w:r>
          </w:p>
          <w:p>
            <w:pPr>
              <w:pStyle w:val="TableParagraph"/>
              <w:spacing w:before="40"/>
              <w:ind w:left="112"/>
              <w:rPr>
                <w:sz w:val="22"/>
              </w:rPr>
            </w:pPr>
            <w:r>
              <w:rPr>
                <w:sz w:val="22"/>
              </w:rPr>
              <w:t>Regional organization</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Homelessness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6</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MIDDLE WAY HOUSE</w:t>
            </w:r>
          </w:p>
        </w:tc>
      </w:tr>
      <w:tr>
        <w:trPr>
          <w:trHeight w:val="1330"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Housing</w:t>
            </w:r>
          </w:p>
          <w:p>
            <w:pPr>
              <w:pStyle w:val="TableParagraph"/>
              <w:spacing w:line="276" w:lineRule="auto" w:before="41"/>
              <w:ind w:left="112" w:right="3053"/>
              <w:rPr>
                <w:sz w:val="22"/>
              </w:rPr>
            </w:pPr>
            <w:r>
              <w:rPr>
                <w:sz w:val="22"/>
              </w:rPr>
              <w:t>Services - Housing Services-Children</w:t>
            </w:r>
          </w:p>
          <w:p>
            <w:pPr>
              <w:pStyle w:val="TableParagraph"/>
              <w:ind w:left="112"/>
              <w:rPr>
                <w:sz w:val="22"/>
              </w:rPr>
            </w:pPr>
            <w:r>
              <w:rPr>
                <w:sz w:val="22"/>
              </w:rPr>
              <w:t>Services-Victims of Domestic Violence</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Homelessness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line="310" w:lineRule="atLeast" w:before="60"/>
              <w:ind w:left="112" w:right="194"/>
              <w:rPr>
                <w:sz w:val="22"/>
              </w:rPr>
            </w:pPr>
            <w:r>
              <w:rPr>
                <w:sz w:val="22"/>
              </w:rPr>
              <w:t>This organization is part of the South Central Housing Network and as such, provide input on the homelessness strategy implemented via the Consolidated Plan and the Region 10's Continuum of Care plan.</w:t>
            </w:r>
          </w:p>
        </w:tc>
      </w:tr>
      <w:tr>
        <w:trPr>
          <w:trHeight w:val="403" w:hRule="atLeast"/>
        </w:trPr>
        <w:tc>
          <w:tcPr>
            <w:tcW w:w="440" w:type="dxa"/>
            <w:vMerge w:val="restart"/>
          </w:tcPr>
          <w:p>
            <w:pPr>
              <w:pStyle w:val="TableParagraph"/>
              <w:spacing w:before="101"/>
              <w:ind w:left="112"/>
              <w:rPr>
                <w:sz w:val="22"/>
              </w:rPr>
            </w:pPr>
            <w:r>
              <w:rPr>
                <w:sz w:val="22"/>
              </w:rPr>
              <w:t>7</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NEW HOPE FAMILY SHELTER</w:t>
            </w:r>
          </w:p>
        </w:tc>
      </w:tr>
      <w:tr>
        <w:trPr>
          <w:trHeight w:val="1330"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Housing</w:t>
            </w:r>
          </w:p>
          <w:p>
            <w:pPr>
              <w:pStyle w:val="TableParagraph"/>
              <w:spacing w:line="310" w:lineRule="atLeast"/>
              <w:ind w:left="112" w:right="3028"/>
              <w:rPr>
                <w:sz w:val="22"/>
              </w:rPr>
            </w:pPr>
            <w:r>
              <w:rPr>
                <w:sz w:val="22"/>
              </w:rPr>
              <w:t>Services - Housing Services-Children Services-homeless</w:t>
            </w:r>
          </w:p>
        </w:tc>
      </w:tr>
    </w:tbl>
    <w:p>
      <w:pPr>
        <w:spacing w:after="0" w:line="310" w:lineRule="atLeast"/>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1639" w:hRule="atLeast"/>
        </w:trPr>
        <w:tc>
          <w:tcPr>
            <w:tcW w:w="440" w:type="dxa"/>
            <w:vMerge w:val="restart"/>
          </w:tcPr>
          <w:p>
            <w:pPr>
              <w:pStyle w:val="TableParagraph"/>
              <w:rPr>
                <w:rFonts w:ascii="Times New Roman"/>
                <w:sz w:val="20"/>
              </w:rPr>
            </w:pPr>
          </w:p>
        </w:tc>
        <w:tc>
          <w:tcPr>
            <w:tcW w:w="4110" w:type="dxa"/>
          </w:tcPr>
          <w:p>
            <w:pPr>
              <w:pStyle w:val="TableParagraph"/>
              <w:spacing w:line="276" w:lineRule="auto" w:before="10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line="310" w:lineRule="atLeast"/>
              <w:ind w:left="112" w:right="1050"/>
              <w:rPr>
                <w:sz w:val="22"/>
              </w:rPr>
            </w:pPr>
            <w:r>
              <w:rPr>
                <w:sz w:val="22"/>
              </w:rPr>
              <w:t>Homeless Needs - Chronically homeless Homeless Needs - Families with children Homelessness Needs - Veterans Homelessness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8</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HABITAT FOR HUMANITY OF MONROE COUNTY</w:t>
            </w:r>
          </w:p>
        </w:tc>
      </w:tr>
      <w:tr>
        <w:trPr>
          <w:trHeight w:val="1330"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Housing</w:t>
            </w:r>
          </w:p>
          <w:p>
            <w:pPr>
              <w:pStyle w:val="TableParagraph"/>
              <w:spacing w:line="276" w:lineRule="auto" w:before="41"/>
              <w:ind w:left="112" w:right="3036"/>
              <w:rPr>
                <w:sz w:val="22"/>
              </w:rPr>
            </w:pPr>
            <w:r>
              <w:rPr>
                <w:sz w:val="22"/>
              </w:rPr>
              <w:t>Services - Housing Civic Leaders</w:t>
            </w:r>
          </w:p>
          <w:p>
            <w:pPr>
              <w:pStyle w:val="TableParagraph"/>
              <w:ind w:left="112"/>
              <w:rPr>
                <w:sz w:val="22"/>
              </w:rPr>
            </w:pPr>
            <w:r>
              <w:rPr>
                <w:sz w:val="22"/>
              </w:rPr>
              <w:t>Business and Civic Leaders</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297"/>
              <w:rPr>
                <w:sz w:val="22"/>
              </w:rPr>
            </w:pPr>
            <w:r>
              <w:rPr>
                <w:sz w:val="22"/>
              </w:rPr>
              <w:t>Housing Need Assessment Homelessness Strategy</w:t>
            </w:r>
          </w:p>
        </w:tc>
      </w:tr>
      <w:tr>
        <w:trPr>
          <w:trHeight w:val="2256"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line="310" w:lineRule="atLeast" w:before="60"/>
              <w:ind w:left="112" w:right="181"/>
              <w:rPr>
                <w:sz w:val="22"/>
              </w:rPr>
            </w:pPr>
            <w:r>
              <w:rPr>
                <w:sz w:val="22"/>
              </w:rPr>
              <w:t>This organization provides input regarding affordable housing issues across the city. Habitat for Humanity provides homebuyer opportunities for income eligible households and is a major partner for HOME funds with the City of Bloomington, particularly on the development of Habitat's Osage Place neighborhood.</w:t>
            </w:r>
          </w:p>
        </w:tc>
      </w:tr>
      <w:tr>
        <w:trPr>
          <w:trHeight w:val="403" w:hRule="atLeast"/>
        </w:trPr>
        <w:tc>
          <w:tcPr>
            <w:tcW w:w="440" w:type="dxa"/>
            <w:vMerge w:val="restart"/>
          </w:tcPr>
          <w:p>
            <w:pPr>
              <w:pStyle w:val="TableParagraph"/>
              <w:spacing w:before="101"/>
              <w:ind w:left="112"/>
              <w:rPr>
                <w:sz w:val="22"/>
              </w:rPr>
            </w:pPr>
            <w:r>
              <w:rPr>
                <w:sz w:val="22"/>
              </w:rPr>
              <w:t>9</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Meridiam Fiber</w:t>
            </w:r>
          </w:p>
        </w:tc>
      </w:tr>
      <w:tr>
        <w:trPr>
          <w:trHeight w:val="1330"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line="276" w:lineRule="auto" w:before="101"/>
              <w:ind w:left="112" w:right="412"/>
              <w:rPr>
                <w:sz w:val="22"/>
              </w:rPr>
            </w:pPr>
            <w:r>
              <w:rPr>
                <w:sz w:val="22"/>
              </w:rPr>
              <w:t>Services - Broadband Internet Service Providers Services - Narrowing the Digital Divide</w:t>
            </w:r>
          </w:p>
          <w:p>
            <w:pPr>
              <w:pStyle w:val="TableParagraph"/>
              <w:ind w:left="112"/>
              <w:rPr>
                <w:sz w:val="22"/>
              </w:rPr>
            </w:pPr>
            <w:r>
              <w:rPr>
                <w:sz w:val="22"/>
              </w:rPr>
              <w:t>Business Leaders</w:t>
            </w:r>
          </w:p>
          <w:p>
            <w:pPr>
              <w:pStyle w:val="TableParagraph"/>
              <w:spacing w:before="41"/>
              <w:ind w:left="112"/>
              <w:rPr>
                <w:sz w:val="22"/>
              </w:rPr>
            </w:pPr>
            <w:r>
              <w:rPr>
                <w:sz w:val="22"/>
              </w:rPr>
              <w:t>Civic Leaders</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297"/>
              <w:rPr>
                <w:sz w:val="22"/>
              </w:rPr>
            </w:pPr>
            <w:r>
              <w:rPr>
                <w:sz w:val="22"/>
              </w:rPr>
              <w:t>Housing Need Assessment Economic Development</w:t>
            </w:r>
          </w:p>
        </w:tc>
      </w:tr>
    </w:tbl>
    <w:p>
      <w:pPr>
        <w:spacing w:after="0" w:line="310" w:lineRule="atLeast"/>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2565" w:hRule="atLeast"/>
        </w:trPr>
        <w:tc>
          <w:tcPr>
            <w:tcW w:w="440" w:type="dxa"/>
          </w:tcPr>
          <w:p>
            <w:pPr>
              <w:pStyle w:val="TableParagraph"/>
              <w:rPr>
                <w:rFonts w:ascii="Times New Roman"/>
                <w:sz w:val="20"/>
              </w:rPr>
            </w:pPr>
          </w:p>
        </w:tc>
        <w:tc>
          <w:tcPr>
            <w:tcW w:w="4110" w:type="dxa"/>
          </w:tcPr>
          <w:p>
            <w:pPr>
              <w:pStyle w:val="TableParagraph"/>
              <w:spacing w:line="276" w:lineRule="auto" w:before="101"/>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line="310" w:lineRule="atLeast" w:before="60"/>
              <w:ind w:left="112" w:right="140"/>
              <w:rPr>
                <w:sz w:val="22"/>
              </w:rPr>
            </w:pPr>
            <w:r>
              <w:rPr>
                <w:sz w:val="22"/>
              </w:rPr>
              <w:t>Meridiam Fiber has an agreement with the City of Bloomington (primarily negotiated by our Legal and Information Technology Services Department) to provide fiber services resulting in high-speed Internet for 85% of residents in the City of Bloomington. This infrastructure is in the process of being deployed now across the City of Bloomington.</w:t>
            </w:r>
          </w:p>
        </w:tc>
      </w:tr>
      <w:tr>
        <w:trPr>
          <w:trHeight w:val="403" w:hRule="atLeast"/>
        </w:trPr>
        <w:tc>
          <w:tcPr>
            <w:tcW w:w="440" w:type="dxa"/>
            <w:vMerge w:val="restart"/>
          </w:tcPr>
          <w:p>
            <w:pPr>
              <w:pStyle w:val="TableParagraph"/>
              <w:spacing w:before="101"/>
              <w:ind w:left="112"/>
              <w:rPr>
                <w:sz w:val="22"/>
              </w:rPr>
            </w:pPr>
            <w:r>
              <w:rPr>
                <w:sz w:val="22"/>
              </w:rPr>
              <w:t>1</w:t>
            </w:r>
          </w:p>
          <w:p>
            <w:pPr>
              <w:pStyle w:val="TableParagraph"/>
              <w:spacing w:before="41"/>
              <w:ind w:left="112"/>
              <w:rPr>
                <w:sz w:val="22"/>
              </w:rPr>
            </w:pPr>
            <w:r>
              <w:rPr>
                <w:sz w:val="22"/>
              </w:rPr>
              <w:t>0</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Monroe County Health Department</w:t>
            </w:r>
          </w:p>
        </w:tc>
      </w:tr>
      <w:tr>
        <w:trPr>
          <w:trHeight w:val="1948"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line="276" w:lineRule="auto" w:before="101"/>
              <w:ind w:left="112" w:right="2984"/>
              <w:rPr>
                <w:sz w:val="22"/>
              </w:rPr>
            </w:pPr>
            <w:r>
              <w:rPr>
                <w:sz w:val="22"/>
              </w:rPr>
              <w:t>Services - Housing Services-Children Services-Health Services-Education Health Agency</w:t>
            </w:r>
          </w:p>
          <w:p>
            <w:pPr>
              <w:pStyle w:val="TableParagraph"/>
              <w:ind w:left="112"/>
              <w:rPr>
                <w:sz w:val="22"/>
              </w:rPr>
            </w:pPr>
            <w:r>
              <w:rPr>
                <w:sz w:val="22"/>
              </w:rPr>
              <w:t>Other government - Local</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346"/>
              <w:rPr>
                <w:sz w:val="22"/>
              </w:rPr>
            </w:pPr>
            <w:r>
              <w:rPr>
                <w:sz w:val="22"/>
              </w:rPr>
              <w:t>Homelessness Strategy Lead-based Paint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1</w:t>
            </w:r>
          </w:p>
          <w:p>
            <w:pPr>
              <w:pStyle w:val="TableParagraph"/>
              <w:spacing w:before="41"/>
              <w:ind w:left="112"/>
              <w:rPr>
                <w:sz w:val="22"/>
              </w:rPr>
            </w:pPr>
            <w:r>
              <w:rPr>
                <w:sz w:val="22"/>
              </w:rPr>
              <w:t>1</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Heading Home of South Central Indiana</w:t>
            </w:r>
          </w:p>
        </w:tc>
      </w:tr>
      <w:tr>
        <w:trPr>
          <w:trHeight w:val="1021"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line="310" w:lineRule="atLeast" w:before="60"/>
              <w:ind w:left="112" w:right="2984"/>
              <w:jc w:val="both"/>
              <w:rPr>
                <w:sz w:val="22"/>
              </w:rPr>
            </w:pPr>
            <w:r>
              <w:rPr>
                <w:sz w:val="22"/>
              </w:rPr>
              <w:t>Services-homeless Services-Education Civic Leaders</w:t>
            </w:r>
          </w:p>
        </w:tc>
      </w:tr>
      <w:tr>
        <w:trPr>
          <w:trHeight w:val="1021" w:hRule="atLeast"/>
        </w:trPr>
        <w:tc>
          <w:tcPr>
            <w:tcW w:w="440" w:type="dxa"/>
            <w:vMerge/>
            <w:tcBorders>
              <w:top w:val="nil"/>
            </w:tcBorders>
          </w:tcPr>
          <w:p>
            <w:pPr>
              <w:rPr>
                <w:sz w:val="2"/>
                <w:szCs w:val="2"/>
              </w:rPr>
            </w:pPr>
          </w:p>
        </w:tc>
        <w:tc>
          <w:tcPr>
            <w:tcW w:w="4110" w:type="dxa"/>
          </w:tcPr>
          <w:p>
            <w:pPr>
              <w:pStyle w:val="TableParagraph"/>
              <w:spacing w:line="276" w:lineRule="auto" w:before="101"/>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314"/>
              <w:rPr>
                <w:sz w:val="22"/>
              </w:rPr>
            </w:pPr>
            <w:r>
              <w:rPr>
                <w:sz w:val="22"/>
              </w:rPr>
              <w:t>Housing Need Assessment Homelessness Strategy Anti-poverty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01"/>
              <w:ind w:left="112"/>
              <w:rPr>
                <w:sz w:val="22"/>
              </w:rPr>
            </w:pPr>
            <w:r>
              <w:rPr>
                <w:sz w:val="22"/>
              </w:rPr>
              <w:t>1</w:t>
            </w:r>
          </w:p>
          <w:p>
            <w:pPr>
              <w:pStyle w:val="TableParagraph"/>
              <w:spacing w:before="41"/>
              <w:ind w:left="112"/>
              <w:rPr>
                <w:sz w:val="22"/>
              </w:rPr>
            </w:pPr>
            <w:r>
              <w:rPr>
                <w:sz w:val="22"/>
              </w:rPr>
              <w:t>2</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Mother Hubbard's Cupboard</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Services-Health</w:t>
            </w:r>
          </w:p>
        </w:tc>
      </w:tr>
    </w:tbl>
    <w:p>
      <w:pPr>
        <w:spacing w:after="0"/>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712" w:hRule="atLeast"/>
        </w:trPr>
        <w:tc>
          <w:tcPr>
            <w:tcW w:w="440" w:type="dxa"/>
            <w:vMerge w:val="restart"/>
          </w:tcPr>
          <w:p>
            <w:pPr>
              <w:pStyle w:val="TableParagraph"/>
              <w:rPr>
                <w:rFonts w:ascii="Times New Roman"/>
                <w:sz w:val="20"/>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610"/>
              <w:rPr>
                <w:sz w:val="22"/>
              </w:rPr>
            </w:pPr>
            <w:r>
              <w:rPr>
                <w:sz w:val="22"/>
              </w:rPr>
              <w:t>Homelessness Strategy Anti-poverty Strategy</w:t>
            </w:r>
          </w:p>
        </w:tc>
      </w:tr>
      <w:tr>
        <w:trPr>
          <w:trHeight w:val="1639"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74"/>
              <w:rPr>
                <w:b/>
                <w:sz w:val="22"/>
              </w:rPr>
            </w:pPr>
            <w:r>
              <w:rPr>
                <w:b/>
                <w:sz w:val="22"/>
              </w:rPr>
              <w:t>Briefly describe how the Agency/Group/Organization was consulted. What are the anticipated outcomes of the consultation or areas for improved coordination?</w:t>
            </w:r>
          </w:p>
        </w:tc>
        <w:tc>
          <w:tcPr>
            <w:tcW w:w="4800" w:type="dxa"/>
          </w:tcPr>
          <w:p>
            <w:pPr>
              <w:pStyle w:val="TableParagraph"/>
              <w:spacing w:before="101"/>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3</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Bloomington Board of Realtors</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Business Leaders</w:t>
            </w:r>
          </w:p>
        </w:tc>
      </w:tr>
      <w:tr>
        <w:trPr>
          <w:trHeight w:val="1021" w:hRule="atLeast"/>
        </w:trPr>
        <w:tc>
          <w:tcPr>
            <w:tcW w:w="440" w:type="dxa"/>
            <w:vMerge/>
            <w:tcBorders>
              <w:top w:val="nil"/>
            </w:tcBorders>
          </w:tcPr>
          <w:p>
            <w:pPr>
              <w:rPr>
                <w:sz w:val="2"/>
                <w:szCs w:val="2"/>
              </w:rPr>
            </w:pPr>
          </w:p>
        </w:tc>
        <w:tc>
          <w:tcPr>
            <w:tcW w:w="4110" w:type="dxa"/>
          </w:tcPr>
          <w:p>
            <w:pPr>
              <w:pStyle w:val="TableParagraph"/>
              <w:spacing w:before="11"/>
              <w:rPr>
                <w:b/>
                <w:sz w:val="20"/>
              </w:rPr>
            </w:pPr>
          </w:p>
          <w:p>
            <w:pPr>
              <w:pStyle w:val="TableParagraph"/>
              <w:spacing w:line="276" w:lineRule="auto" w:before="1"/>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297"/>
              <w:rPr>
                <w:sz w:val="22"/>
              </w:rPr>
            </w:pPr>
            <w:r>
              <w:rPr>
                <w:sz w:val="22"/>
              </w:rPr>
              <w:t>Housing Need Assessment Economic Development Market Analysis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4</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United Way of South Central Indiana</w:t>
            </w:r>
          </w:p>
        </w:tc>
      </w:tr>
      <w:tr>
        <w:trPr>
          <w:trHeight w:val="1021" w:hRule="atLeast"/>
        </w:trPr>
        <w:tc>
          <w:tcPr>
            <w:tcW w:w="440" w:type="dxa"/>
            <w:vMerge/>
            <w:tcBorders>
              <w:top w:val="nil"/>
            </w:tcBorders>
          </w:tcPr>
          <w:p>
            <w:pPr>
              <w:rPr>
                <w:sz w:val="2"/>
                <w:szCs w:val="2"/>
              </w:rPr>
            </w:pPr>
          </w:p>
        </w:tc>
        <w:tc>
          <w:tcPr>
            <w:tcW w:w="4110" w:type="dxa"/>
          </w:tcPr>
          <w:p>
            <w:pPr>
              <w:pStyle w:val="TableParagraph"/>
              <w:rPr>
                <w:b/>
                <w:sz w:val="22"/>
              </w:rPr>
            </w:pPr>
          </w:p>
          <w:p>
            <w:pPr>
              <w:pStyle w:val="TableParagraph"/>
              <w:spacing w:before="142"/>
              <w:ind w:left="112"/>
              <w:rPr>
                <w:b/>
                <w:sz w:val="22"/>
              </w:rPr>
            </w:pPr>
            <w:r>
              <w:rPr>
                <w:b/>
                <w:sz w:val="22"/>
              </w:rPr>
              <w:t>Agency/Group/Organization Type</w:t>
            </w:r>
          </w:p>
        </w:tc>
        <w:tc>
          <w:tcPr>
            <w:tcW w:w="4800" w:type="dxa"/>
          </w:tcPr>
          <w:p>
            <w:pPr>
              <w:pStyle w:val="TableParagraph"/>
              <w:spacing w:line="310" w:lineRule="atLeast" w:before="60"/>
              <w:ind w:left="112" w:right="2621"/>
              <w:rPr>
                <w:sz w:val="22"/>
              </w:rPr>
            </w:pPr>
            <w:r>
              <w:rPr>
                <w:sz w:val="22"/>
              </w:rPr>
              <w:t>Services - Health Services - Education Services - Employment</w:t>
            </w:r>
          </w:p>
        </w:tc>
      </w:tr>
      <w:tr>
        <w:trPr>
          <w:trHeight w:val="712"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071"/>
              <w:rPr>
                <w:sz w:val="22"/>
              </w:rPr>
            </w:pPr>
            <w:r>
              <w:rPr>
                <w:sz w:val="22"/>
              </w:rPr>
              <w:t>Non-Homeless Special Needs Anti-poverty Strategy</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5</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CDFI Friendly Bloomington</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Business Leaders</w:t>
            </w:r>
          </w:p>
        </w:tc>
      </w:tr>
      <w:tr>
        <w:trPr>
          <w:trHeight w:val="1021" w:hRule="atLeast"/>
        </w:trPr>
        <w:tc>
          <w:tcPr>
            <w:tcW w:w="440" w:type="dxa"/>
            <w:vMerge/>
            <w:tcBorders>
              <w:top w:val="nil"/>
            </w:tcBorders>
          </w:tcPr>
          <w:p>
            <w:pPr>
              <w:rPr>
                <w:sz w:val="2"/>
                <w:szCs w:val="2"/>
              </w:rPr>
            </w:pPr>
          </w:p>
        </w:tc>
        <w:tc>
          <w:tcPr>
            <w:tcW w:w="4110" w:type="dxa"/>
          </w:tcPr>
          <w:p>
            <w:pPr>
              <w:pStyle w:val="TableParagraph"/>
              <w:spacing w:before="11"/>
              <w:rPr>
                <w:b/>
                <w:sz w:val="20"/>
              </w:rPr>
            </w:pPr>
          </w:p>
          <w:p>
            <w:pPr>
              <w:pStyle w:val="TableParagraph"/>
              <w:spacing w:line="276" w:lineRule="auto" w:before="1"/>
              <w:ind w:left="112" w:right="316"/>
              <w:rPr>
                <w:b/>
                <w:sz w:val="22"/>
              </w:rPr>
            </w:pPr>
            <w:r>
              <w:rPr>
                <w:b/>
                <w:sz w:val="22"/>
              </w:rPr>
              <w:t>What section of the Plan was addressed by Consultation?</w:t>
            </w:r>
          </w:p>
        </w:tc>
        <w:tc>
          <w:tcPr>
            <w:tcW w:w="4800" w:type="dxa"/>
          </w:tcPr>
          <w:p>
            <w:pPr>
              <w:pStyle w:val="TableParagraph"/>
              <w:spacing w:line="310" w:lineRule="atLeast" w:before="60"/>
              <w:ind w:left="112" w:right="2297"/>
              <w:rPr>
                <w:sz w:val="22"/>
              </w:rPr>
            </w:pPr>
            <w:r>
              <w:rPr>
                <w:sz w:val="22"/>
              </w:rPr>
              <w:t>Housing Need Assessment Economic Development Market Analysis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tcPr>
          <w:p>
            <w:pPr>
              <w:pStyle w:val="TableParagraph"/>
              <w:spacing w:before="1"/>
              <w:ind w:left="112"/>
              <w:rPr>
                <w:sz w:val="22"/>
              </w:rPr>
            </w:pPr>
            <w:r>
              <w:rPr>
                <w:sz w:val="22"/>
              </w:rPr>
              <w:t>1</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Center for Justice and Mediation</w:t>
            </w:r>
          </w:p>
        </w:tc>
      </w:tr>
    </w:tbl>
    <w:p>
      <w:pPr>
        <w:spacing w:after="0"/>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812" w:hRule="atLeast"/>
        </w:trPr>
        <w:tc>
          <w:tcPr>
            <w:tcW w:w="440" w:type="dxa"/>
            <w:vMerge w:val="restart"/>
          </w:tcPr>
          <w:p>
            <w:pPr>
              <w:pStyle w:val="TableParagraph"/>
              <w:spacing w:line="265" w:lineRule="exact"/>
              <w:ind w:left="112"/>
              <w:rPr>
                <w:sz w:val="22"/>
              </w:rPr>
            </w:pPr>
            <w:r>
              <w:rPr>
                <w:sz w:val="22"/>
              </w:rPr>
              <w:t>6</w:t>
            </w:r>
          </w:p>
        </w:tc>
        <w:tc>
          <w:tcPr>
            <w:tcW w:w="4110" w:type="dxa"/>
          </w:tcPr>
          <w:p>
            <w:pPr>
              <w:pStyle w:val="TableParagraph"/>
              <w:rPr>
                <w:b/>
                <w:sz w:val="25"/>
              </w:rPr>
            </w:pPr>
          </w:p>
          <w:p>
            <w:pPr>
              <w:pStyle w:val="TableParagraph"/>
              <w:spacing w:before="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Services-Housing</w:t>
            </w:r>
          </w:p>
          <w:p>
            <w:pPr>
              <w:pStyle w:val="TableParagraph"/>
              <w:spacing w:before="141"/>
              <w:ind w:left="112"/>
              <w:rPr>
                <w:sz w:val="22"/>
              </w:rPr>
            </w:pPr>
            <w:r>
              <w:rPr>
                <w:sz w:val="22"/>
              </w:rPr>
              <w:t>Services-Fair Housing</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Non-Homeless Special Needs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7</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El Centro Comunal Latino</w:t>
            </w:r>
          </w:p>
        </w:tc>
      </w:tr>
      <w:tr>
        <w:trPr>
          <w:trHeight w:val="812" w:hRule="atLeast"/>
        </w:trPr>
        <w:tc>
          <w:tcPr>
            <w:tcW w:w="440" w:type="dxa"/>
            <w:vMerge/>
            <w:tcBorders>
              <w:top w:val="nil"/>
            </w:tcBorders>
          </w:tcPr>
          <w:p>
            <w:pPr>
              <w:rPr>
                <w:sz w:val="2"/>
                <w:szCs w:val="2"/>
              </w:rPr>
            </w:pPr>
          </w:p>
        </w:tc>
        <w:tc>
          <w:tcPr>
            <w:tcW w:w="4110" w:type="dxa"/>
          </w:tcPr>
          <w:p>
            <w:pPr>
              <w:pStyle w:val="TableParagraph"/>
              <w:rPr>
                <w:b/>
                <w:sz w:val="25"/>
              </w:rPr>
            </w:pPr>
          </w:p>
          <w:p>
            <w:pPr>
              <w:pStyle w:val="TableParagraph"/>
              <w:spacing w:before="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Services-Housing</w:t>
            </w:r>
          </w:p>
          <w:p>
            <w:pPr>
              <w:pStyle w:val="TableParagraph"/>
              <w:spacing w:before="141"/>
              <w:ind w:left="112"/>
              <w:rPr>
                <w:sz w:val="22"/>
              </w:rPr>
            </w:pPr>
            <w:r>
              <w:rPr>
                <w:sz w:val="22"/>
              </w:rPr>
              <w:t>Services-Fair Housing</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Non-Homeless Special Needs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8</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HealthNet</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Services-Health</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Non-Homeless Special Needs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1</w:t>
            </w:r>
          </w:p>
          <w:p>
            <w:pPr>
              <w:pStyle w:val="TableParagraph"/>
              <w:spacing w:before="41"/>
              <w:ind w:left="112"/>
              <w:rPr>
                <w:sz w:val="22"/>
              </w:rPr>
            </w:pPr>
            <w:r>
              <w:rPr>
                <w:sz w:val="22"/>
              </w:rPr>
              <w:t>9</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Mobility Lending Library</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Services-Persons with Disabilities</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Non-Homeless Special Needs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bl>
    <w:p>
      <w:pPr>
        <w:spacing w:after="0"/>
        <w:rPr>
          <w:sz w:val="22"/>
        </w:rPr>
        <w:sectPr>
          <w:pgSz w:w="12240" w:h="15840"/>
          <w:pgMar w:header="769" w:footer="1321" w:top="1340" w:bottom="1540" w:left="1220" w:right="880"/>
        </w:sectPr>
      </w:pPr>
    </w:p>
    <w:p>
      <w:pPr>
        <w:pStyle w:val="BodyText"/>
        <w:spacing w:before="11"/>
        <w:rPr>
          <w:b/>
          <w:sz w:val="6"/>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4110"/>
        <w:gridCol w:w="4800"/>
      </w:tblGrid>
      <w:tr>
        <w:trPr>
          <w:trHeight w:val="403" w:hRule="atLeast"/>
        </w:trPr>
        <w:tc>
          <w:tcPr>
            <w:tcW w:w="440" w:type="dxa"/>
            <w:vMerge w:val="restart"/>
          </w:tcPr>
          <w:p>
            <w:pPr>
              <w:pStyle w:val="TableParagraph"/>
              <w:spacing w:before="1"/>
              <w:ind w:left="112"/>
              <w:rPr>
                <w:sz w:val="22"/>
              </w:rPr>
            </w:pPr>
            <w:r>
              <w:rPr>
                <w:sz w:val="22"/>
              </w:rPr>
              <w:t>2</w:t>
            </w:r>
          </w:p>
          <w:p>
            <w:pPr>
              <w:pStyle w:val="TableParagraph"/>
              <w:spacing w:before="41"/>
              <w:ind w:left="112"/>
              <w:rPr>
                <w:sz w:val="22"/>
              </w:rPr>
            </w:pPr>
            <w:r>
              <w:rPr>
                <w:sz w:val="22"/>
              </w:rPr>
              <w:t>0</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Southern Indiana Center for Independent Living</w:t>
            </w:r>
          </w:p>
        </w:tc>
      </w:tr>
      <w:tr>
        <w:trPr>
          <w:trHeight w:val="403" w:hRule="atLeast"/>
        </w:trPr>
        <w:tc>
          <w:tcPr>
            <w:tcW w:w="440" w:type="dxa"/>
            <w:vMerge/>
            <w:tcBorders>
              <w:top w:val="nil"/>
            </w:tcBorders>
          </w:tcPr>
          <w:p>
            <w:pPr>
              <w:rPr>
                <w:sz w:val="2"/>
                <w:szCs w:val="2"/>
              </w:rPr>
            </w:pPr>
          </w:p>
        </w:tc>
        <w:tc>
          <w:tcPr>
            <w:tcW w:w="4110" w:type="dxa"/>
          </w:tcPr>
          <w:p>
            <w:pPr>
              <w:pStyle w:val="TableParagraph"/>
              <w:spacing w:before="101"/>
              <w:ind w:left="112"/>
              <w:rPr>
                <w:b/>
                <w:sz w:val="22"/>
              </w:rPr>
            </w:pPr>
            <w:r>
              <w:rPr>
                <w:b/>
                <w:sz w:val="22"/>
              </w:rPr>
              <w:t>Agency/Group/Organization Type</w:t>
            </w:r>
          </w:p>
        </w:tc>
        <w:tc>
          <w:tcPr>
            <w:tcW w:w="4800" w:type="dxa"/>
          </w:tcPr>
          <w:p>
            <w:pPr>
              <w:pStyle w:val="TableParagraph"/>
              <w:spacing w:before="101"/>
              <w:ind w:left="112"/>
              <w:rPr>
                <w:sz w:val="22"/>
              </w:rPr>
            </w:pPr>
            <w:r>
              <w:rPr>
                <w:sz w:val="22"/>
              </w:rPr>
              <w:t>Services-Persons with Disabilities</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Non-Homeless Special Needs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r>
        <w:trPr>
          <w:trHeight w:val="403" w:hRule="atLeast"/>
        </w:trPr>
        <w:tc>
          <w:tcPr>
            <w:tcW w:w="440" w:type="dxa"/>
            <w:vMerge w:val="restart"/>
          </w:tcPr>
          <w:p>
            <w:pPr>
              <w:pStyle w:val="TableParagraph"/>
              <w:spacing w:before="1"/>
              <w:ind w:left="112"/>
              <w:rPr>
                <w:sz w:val="22"/>
              </w:rPr>
            </w:pPr>
            <w:r>
              <w:rPr>
                <w:sz w:val="22"/>
              </w:rPr>
              <w:t>2</w:t>
            </w:r>
          </w:p>
          <w:p>
            <w:pPr>
              <w:pStyle w:val="TableParagraph"/>
              <w:spacing w:before="41"/>
              <w:ind w:left="112"/>
              <w:rPr>
                <w:sz w:val="22"/>
              </w:rPr>
            </w:pPr>
            <w:r>
              <w:rPr>
                <w:sz w:val="22"/>
              </w:rPr>
              <w:t>1</w:t>
            </w:r>
          </w:p>
        </w:tc>
        <w:tc>
          <w:tcPr>
            <w:tcW w:w="4110" w:type="dxa"/>
          </w:tcPr>
          <w:p>
            <w:pPr>
              <w:pStyle w:val="TableParagraph"/>
              <w:spacing w:before="101"/>
              <w:ind w:left="112"/>
              <w:rPr>
                <w:b/>
                <w:sz w:val="22"/>
              </w:rPr>
            </w:pPr>
            <w:r>
              <w:rPr>
                <w:b/>
                <w:sz w:val="22"/>
              </w:rPr>
              <w:t>Agency/Group/Organization</w:t>
            </w:r>
          </w:p>
        </w:tc>
        <w:tc>
          <w:tcPr>
            <w:tcW w:w="4800" w:type="dxa"/>
          </w:tcPr>
          <w:p>
            <w:pPr>
              <w:pStyle w:val="TableParagraph"/>
              <w:spacing w:before="101"/>
              <w:ind w:left="112"/>
              <w:rPr>
                <w:sz w:val="22"/>
              </w:rPr>
            </w:pPr>
            <w:r>
              <w:rPr>
                <w:sz w:val="22"/>
              </w:rPr>
              <w:t>YIMBYana</w:t>
            </w:r>
          </w:p>
        </w:tc>
      </w:tr>
      <w:tr>
        <w:trPr>
          <w:trHeight w:val="812" w:hRule="atLeast"/>
        </w:trPr>
        <w:tc>
          <w:tcPr>
            <w:tcW w:w="440" w:type="dxa"/>
            <w:vMerge/>
            <w:tcBorders>
              <w:top w:val="nil"/>
            </w:tcBorders>
          </w:tcPr>
          <w:p>
            <w:pPr>
              <w:rPr>
                <w:sz w:val="2"/>
                <w:szCs w:val="2"/>
              </w:rPr>
            </w:pPr>
          </w:p>
        </w:tc>
        <w:tc>
          <w:tcPr>
            <w:tcW w:w="4110" w:type="dxa"/>
          </w:tcPr>
          <w:p>
            <w:pPr>
              <w:pStyle w:val="TableParagraph"/>
              <w:rPr>
                <w:b/>
                <w:sz w:val="25"/>
              </w:rPr>
            </w:pPr>
          </w:p>
          <w:p>
            <w:pPr>
              <w:pStyle w:val="TableParagraph"/>
              <w:spacing w:before="1"/>
              <w:ind w:left="112"/>
              <w:rPr>
                <w:b/>
                <w:sz w:val="22"/>
              </w:rPr>
            </w:pPr>
            <w:r>
              <w:rPr>
                <w:b/>
                <w:sz w:val="22"/>
              </w:rPr>
              <w:t>Agency/Group/Organization Type</w:t>
            </w:r>
          </w:p>
        </w:tc>
        <w:tc>
          <w:tcPr>
            <w:tcW w:w="4800" w:type="dxa"/>
          </w:tcPr>
          <w:p>
            <w:pPr>
              <w:pStyle w:val="TableParagraph"/>
              <w:spacing w:before="101"/>
              <w:ind w:left="112"/>
              <w:rPr>
                <w:sz w:val="22"/>
              </w:rPr>
            </w:pPr>
            <w:r>
              <w:rPr>
                <w:sz w:val="22"/>
              </w:rPr>
              <w:t>Housing</w:t>
            </w:r>
          </w:p>
          <w:p>
            <w:pPr>
              <w:pStyle w:val="TableParagraph"/>
              <w:spacing w:before="141"/>
              <w:ind w:left="112"/>
              <w:rPr>
                <w:sz w:val="22"/>
              </w:rPr>
            </w:pPr>
            <w:r>
              <w:rPr>
                <w:sz w:val="22"/>
              </w:rPr>
              <w:t>Services-Housing</w:t>
            </w:r>
          </w:p>
        </w:tc>
      </w:tr>
      <w:tr>
        <w:trPr>
          <w:trHeight w:val="812" w:hRule="atLeast"/>
        </w:trPr>
        <w:tc>
          <w:tcPr>
            <w:tcW w:w="440" w:type="dxa"/>
            <w:vMerge/>
            <w:tcBorders>
              <w:top w:val="nil"/>
            </w:tcBorders>
          </w:tcPr>
          <w:p>
            <w:pPr>
              <w:rPr>
                <w:sz w:val="2"/>
                <w:szCs w:val="2"/>
              </w:rPr>
            </w:pPr>
          </w:p>
        </w:tc>
        <w:tc>
          <w:tcPr>
            <w:tcW w:w="4110" w:type="dxa"/>
          </w:tcPr>
          <w:p>
            <w:pPr>
              <w:pStyle w:val="TableParagraph"/>
              <w:spacing w:line="276" w:lineRule="auto" w:before="151"/>
              <w:ind w:left="112" w:right="316"/>
              <w:rPr>
                <w:b/>
                <w:sz w:val="22"/>
              </w:rPr>
            </w:pPr>
            <w:r>
              <w:rPr>
                <w:b/>
                <w:sz w:val="22"/>
              </w:rPr>
              <w:t>What section of the Plan was addressed by Consultation?</w:t>
            </w:r>
          </w:p>
        </w:tc>
        <w:tc>
          <w:tcPr>
            <w:tcW w:w="4800" w:type="dxa"/>
          </w:tcPr>
          <w:p>
            <w:pPr>
              <w:pStyle w:val="TableParagraph"/>
              <w:spacing w:before="101"/>
              <w:ind w:left="112"/>
              <w:rPr>
                <w:sz w:val="22"/>
              </w:rPr>
            </w:pPr>
            <w:r>
              <w:rPr>
                <w:sz w:val="22"/>
              </w:rPr>
              <w:t>Housing Need Assessment</w:t>
            </w:r>
          </w:p>
          <w:p>
            <w:pPr>
              <w:pStyle w:val="TableParagraph"/>
              <w:spacing w:before="141"/>
              <w:ind w:left="112"/>
              <w:rPr>
                <w:sz w:val="22"/>
              </w:rPr>
            </w:pPr>
            <w:r>
              <w:rPr>
                <w:sz w:val="22"/>
              </w:rPr>
              <w:t>Market Analysis</w:t>
            </w:r>
          </w:p>
        </w:tc>
      </w:tr>
      <w:tr>
        <w:trPr>
          <w:trHeight w:val="1330" w:hRule="atLeast"/>
        </w:trPr>
        <w:tc>
          <w:tcPr>
            <w:tcW w:w="440" w:type="dxa"/>
            <w:vMerge/>
            <w:tcBorders>
              <w:top w:val="nil"/>
            </w:tcBorders>
          </w:tcPr>
          <w:p>
            <w:pPr>
              <w:rPr>
                <w:sz w:val="2"/>
                <w:szCs w:val="2"/>
              </w:rPr>
            </w:pPr>
          </w:p>
        </w:tc>
        <w:tc>
          <w:tcPr>
            <w:tcW w:w="4110" w:type="dxa"/>
          </w:tcPr>
          <w:p>
            <w:pPr>
              <w:pStyle w:val="TableParagraph"/>
              <w:spacing w:line="310" w:lineRule="atLeast" w:before="60"/>
              <w:ind w:left="112" w:right="128"/>
              <w:rPr>
                <w:b/>
                <w:sz w:val="22"/>
              </w:rPr>
            </w:pPr>
            <w:r>
              <w:rPr>
                <w:b/>
                <w:sz w:val="22"/>
              </w:rPr>
              <w:t>How was the Agency/Group/Organization consulted and what are the anticipated outcomes of the consultation or areas for improved coordination?</w:t>
            </w:r>
          </w:p>
        </w:tc>
        <w:tc>
          <w:tcPr>
            <w:tcW w:w="4800" w:type="dxa"/>
          </w:tcPr>
          <w:p>
            <w:pPr>
              <w:pStyle w:val="TableParagraph"/>
              <w:rPr>
                <w:b/>
                <w:sz w:val="22"/>
              </w:rPr>
            </w:pPr>
          </w:p>
          <w:p>
            <w:pPr>
              <w:pStyle w:val="TableParagraph"/>
              <w:spacing w:before="3"/>
              <w:rPr>
                <w:b/>
                <w:sz w:val="24"/>
              </w:rPr>
            </w:pPr>
          </w:p>
          <w:p>
            <w:pPr>
              <w:pStyle w:val="TableParagraph"/>
              <w:ind w:left="112"/>
              <w:rPr>
                <w:sz w:val="22"/>
              </w:rPr>
            </w:pPr>
            <w:r>
              <w:rPr>
                <w:sz w:val="22"/>
              </w:rPr>
              <w:t>This agency was consulted via stakeholder session</w:t>
            </w:r>
          </w:p>
        </w:tc>
      </w:tr>
    </w:tbl>
    <w:p>
      <w:pPr>
        <w:spacing w:before="0"/>
        <w:ind w:left="220" w:right="0" w:firstLine="0"/>
        <w:jc w:val="left"/>
        <w:rPr>
          <w:rFonts w:ascii="Cambria" w:hAnsi="Cambria"/>
          <w:b/>
          <w:sz w:val="20"/>
        </w:rPr>
      </w:pPr>
      <w:r>
        <w:rPr>
          <w:rFonts w:ascii="Cambria" w:hAnsi="Cambria"/>
          <w:b/>
          <w:sz w:val="20"/>
        </w:rPr>
        <w:t>Table 2 – Agencies, groups, organizations who participated</w:t>
      </w:r>
    </w:p>
    <w:p>
      <w:pPr>
        <w:pStyle w:val="BodyText"/>
        <w:rPr>
          <w:rFonts w:ascii="Cambria"/>
          <w:b/>
          <w:sz w:val="20"/>
        </w:rPr>
      </w:pPr>
    </w:p>
    <w:p>
      <w:pPr>
        <w:pStyle w:val="BodyText"/>
        <w:spacing w:before="2"/>
        <w:rPr>
          <w:rFonts w:ascii="Cambria"/>
          <w:b/>
          <w:sz w:val="26"/>
        </w:rPr>
      </w:pPr>
    </w:p>
    <w:p>
      <w:pPr>
        <w:pStyle w:val="Heading4"/>
        <w:spacing w:before="1"/>
      </w:pPr>
      <w:r>
        <w:rPr/>
        <w:t>Identify any Agency Types not consulted and provide rationale for not consulting</w:t>
      </w:r>
    </w:p>
    <w:p>
      <w:pPr>
        <w:pStyle w:val="BodyText"/>
        <w:spacing w:before="11"/>
        <w:rPr>
          <w:b/>
          <w:sz w:val="19"/>
        </w:rPr>
      </w:pPr>
    </w:p>
    <w:p>
      <w:pPr>
        <w:pStyle w:val="BodyText"/>
        <w:ind w:left="220"/>
      </w:pPr>
      <w:r>
        <w:rPr/>
        <w:t>There were no agencies intentionally not consulted.</w:t>
      </w:r>
    </w:p>
    <w:p>
      <w:pPr>
        <w:pStyle w:val="BodyText"/>
        <w:spacing w:before="9"/>
        <w:rPr>
          <w:sz w:val="19"/>
        </w:rPr>
      </w:pPr>
    </w:p>
    <w:p>
      <w:pPr>
        <w:pStyle w:val="Heading4"/>
      </w:pPr>
      <w:r>
        <w:rPr/>
        <w:t>Other local/regional/state/federal planning efforts considered when preparing the Plan</w:t>
      </w:r>
    </w:p>
    <w:p>
      <w:pPr>
        <w:pStyle w:val="BodyText"/>
        <w:spacing w:before="7"/>
        <w:rPr>
          <w:b/>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07"/>
        <w:gridCol w:w="3124"/>
        <w:gridCol w:w="3119"/>
      </w:tblGrid>
      <w:tr>
        <w:trPr>
          <w:trHeight w:val="800" w:hRule="atLeast"/>
        </w:trPr>
        <w:tc>
          <w:tcPr>
            <w:tcW w:w="3107" w:type="dxa"/>
          </w:tcPr>
          <w:p>
            <w:pPr>
              <w:pStyle w:val="TableParagraph"/>
              <w:spacing w:before="1"/>
              <w:ind w:left="936"/>
              <w:rPr>
                <w:b/>
                <w:sz w:val="22"/>
              </w:rPr>
            </w:pPr>
            <w:r>
              <w:rPr>
                <w:b/>
                <w:sz w:val="22"/>
              </w:rPr>
              <w:t>Name of Plan</w:t>
            </w:r>
          </w:p>
        </w:tc>
        <w:tc>
          <w:tcPr>
            <w:tcW w:w="3124" w:type="dxa"/>
          </w:tcPr>
          <w:p>
            <w:pPr>
              <w:pStyle w:val="TableParagraph"/>
              <w:spacing w:before="1"/>
              <w:ind w:left="732"/>
              <w:rPr>
                <w:b/>
                <w:sz w:val="22"/>
              </w:rPr>
            </w:pPr>
            <w:r>
              <w:rPr>
                <w:b/>
                <w:sz w:val="22"/>
              </w:rPr>
              <w:t>Lead Organization</w:t>
            </w:r>
          </w:p>
        </w:tc>
        <w:tc>
          <w:tcPr>
            <w:tcW w:w="3119" w:type="dxa"/>
          </w:tcPr>
          <w:p>
            <w:pPr>
              <w:pStyle w:val="TableParagraph"/>
              <w:spacing w:line="270" w:lineRule="atLeast"/>
              <w:ind w:left="151" w:right="139"/>
              <w:jc w:val="center"/>
              <w:rPr>
                <w:b/>
                <w:sz w:val="22"/>
              </w:rPr>
            </w:pPr>
            <w:r>
              <w:rPr>
                <w:b/>
                <w:sz w:val="22"/>
              </w:rPr>
              <w:t>How do the goals of your Strategic Plan overlap with the goals of each plan?</w:t>
            </w:r>
          </w:p>
        </w:tc>
      </w:tr>
      <w:tr>
        <w:trPr>
          <w:trHeight w:val="1060" w:hRule="atLeast"/>
        </w:trPr>
        <w:tc>
          <w:tcPr>
            <w:tcW w:w="3107" w:type="dxa"/>
          </w:tcPr>
          <w:p>
            <w:pPr>
              <w:pStyle w:val="TableParagraph"/>
              <w:spacing w:line="261" w:lineRule="exact"/>
              <w:ind w:left="112"/>
              <w:rPr>
                <w:sz w:val="22"/>
              </w:rPr>
            </w:pPr>
            <w:r>
              <w:rPr>
                <w:sz w:val="22"/>
              </w:rPr>
              <w:t>Heading Home</w:t>
            </w:r>
          </w:p>
        </w:tc>
        <w:tc>
          <w:tcPr>
            <w:tcW w:w="3124" w:type="dxa"/>
          </w:tcPr>
          <w:p>
            <w:pPr>
              <w:pStyle w:val="TableParagraph"/>
              <w:spacing w:line="261" w:lineRule="exact"/>
              <w:ind w:left="112"/>
              <w:rPr>
                <w:sz w:val="22"/>
              </w:rPr>
            </w:pPr>
            <w:r>
              <w:rPr>
                <w:sz w:val="22"/>
              </w:rPr>
              <w:t>Continuum of Care</w:t>
            </w:r>
          </w:p>
        </w:tc>
        <w:tc>
          <w:tcPr>
            <w:tcW w:w="3119" w:type="dxa"/>
          </w:tcPr>
          <w:p>
            <w:pPr>
              <w:pStyle w:val="TableParagraph"/>
              <w:ind w:left="112" w:right="610"/>
              <w:rPr>
                <w:sz w:val="22"/>
              </w:rPr>
            </w:pPr>
            <w:r>
              <w:rPr>
                <w:sz w:val="22"/>
              </w:rPr>
              <w:t>The Heading Home plan informed the Needs Assessment and Homeless</w:t>
            </w:r>
          </w:p>
          <w:p>
            <w:pPr>
              <w:pStyle w:val="TableParagraph"/>
              <w:spacing w:line="242" w:lineRule="exact"/>
              <w:ind w:left="112"/>
              <w:rPr>
                <w:sz w:val="22"/>
              </w:rPr>
            </w:pPr>
            <w:r>
              <w:rPr>
                <w:sz w:val="22"/>
              </w:rPr>
              <w:t>Strategy.</w:t>
            </w:r>
          </w:p>
        </w:tc>
      </w:tr>
    </w:tbl>
    <w:p>
      <w:pPr>
        <w:spacing w:before="0"/>
        <w:ind w:left="535" w:right="874" w:firstLine="0"/>
        <w:jc w:val="center"/>
        <w:rPr>
          <w:rFonts w:ascii="Cambria" w:hAnsi="Cambria"/>
          <w:b/>
          <w:sz w:val="20"/>
        </w:rPr>
      </w:pPr>
      <w:r>
        <w:rPr>
          <w:rFonts w:ascii="Cambria" w:hAnsi="Cambria"/>
          <w:b/>
          <w:sz w:val="20"/>
        </w:rPr>
        <w:t>Table 3 – Other local / regional / federal planning efforts</w:t>
      </w:r>
    </w:p>
    <w:p>
      <w:pPr>
        <w:pStyle w:val="BodyText"/>
        <w:rPr>
          <w:rFonts w:ascii="Cambria"/>
          <w:b/>
          <w:sz w:val="20"/>
        </w:rPr>
      </w:pPr>
    </w:p>
    <w:p>
      <w:pPr>
        <w:pStyle w:val="BodyText"/>
        <w:spacing w:before="2"/>
        <w:rPr>
          <w:rFonts w:ascii="Cambria"/>
          <w:b/>
          <w:sz w:val="26"/>
        </w:rPr>
      </w:pPr>
    </w:p>
    <w:p>
      <w:pPr>
        <w:pStyle w:val="Heading4"/>
        <w:spacing w:line="276" w:lineRule="auto"/>
        <w:ind w:right="611"/>
      </w:pPr>
      <w:r>
        <w:rPr/>
        <w:t>Describe cooperation and coordination with other public entities, including the State and any adjacent units of general local government, in the implementation of the Consolidated Plan (91.215(l))</w:t>
      </w:r>
    </w:p>
    <w:p>
      <w:pPr>
        <w:spacing w:after="0" w:line="276" w:lineRule="auto"/>
        <w:sectPr>
          <w:pgSz w:w="12240" w:h="15840"/>
          <w:pgMar w:header="769" w:footer="1321" w:top="1340" w:bottom="1540" w:left="1220" w:right="880"/>
        </w:sectPr>
      </w:pPr>
    </w:p>
    <w:p>
      <w:pPr>
        <w:pStyle w:val="BodyText"/>
        <w:spacing w:line="276" w:lineRule="auto" w:before="94"/>
        <w:ind w:left="220" w:right="569"/>
      </w:pPr>
      <w:r>
        <w:rPr/>
        <w:t>In accordance with 24 CFR 91.100(4), the City of Bloomington will notify adjacent units of local government of the non-housing community development needs included in its Con Plan. Bloomington will continue to interact with public entities at all levels to ensure coordination and cooperation in the implementation of the Con Plan and thereby maximize the benefits of the City’s housing and community development activities for the residents being served.</w:t>
      </w:r>
    </w:p>
    <w:p>
      <w:pPr>
        <w:spacing w:after="0" w:line="276" w:lineRule="auto"/>
        <w:sectPr>
          <w:pgSz w:w="12240" w:h="15840"/>
          <w:pgMar w:header="769" w:footer="1321" w:top="1340" w:bottom="1540" w:left="1220" w:right="880"/>
        </w:sectPr>
      </w:pPr>
    </w:p>
    <w:p>
      <w:pPr>
        <w:pStyle w:val="BodyText"/>
        <w:rPr>
          <w:sz w:val="18"/>
        </w:rPr>
      </w:pPr>
    </w:p>
    <w:p>
      <w:pPr>
        <w:pStyle w:val="Heading1"/>
        <w:spacing w:before="36"/>
      </w:pPr>
      <w:r>
        <w:rPr>
          <w:color w:val="0E4661"/>
        </w:rPr>
        <w:t>PR-15 Citizen Participation – 91.105, 91.115, 91.200(c) and 91.300(c)</w:t>
      </w:r>
    </w:p>
    <w:p>
      <w:pPr>
        <w:pStyle w:val="Heading4"/>
        <w:tabs>
          <w:tab w:pos="939" w:val="left" w:leader="none"/>
        </w:tabs>
        <w:spacing w:before="137"/>
        <w:ind w:right="562"/>
      </w:pPr>
      <w:r>
        <w:rPr/>
        <w:t>1.</w:t>
        <w:tab/>
        <w:t>Summary of citizen participation process/Efforts made to broaden citizen </w:t>
      </w:r>
      <w:r>
        <w:rPr>
          <w:spacing w:val="-2"/>
        </w:rPr>
        <w:t>participation </w:t>
      </w:r>
      <w:r>
        <w:rPr/>
        <w:t>Summarize citizen participation process and how it impacted goal-setting</w:t>
      </w:r>
    </w:p>
    <w:p>
      <w:pPr>
        <w:pStyle w:val="BodyText"/>
        <w:spacing w:before="12"/>
        <w:rPr>
          <w:b/>
          <w:sz w:val="23"/>
        </w:rPr>
      </w:pPr>
    </w:p>
    <w:p>
      <w:pPr>
        <w:pStyle w:val="BodyText"/>
        <w:spacing w:line="276" w:lineRule="auto"/>
        <w:ind w:left="220" w:right="657"/>
      </w:pPr>
      <w:r>
        <w:rPr/>
        <w:t>To gather community input on the development of the 2025-2029 Consolidated Plan and Analysis of Impediments to Fair Housing Choice, the Housing and Neighborhood Development (HAND) department of the City of Bloomington hosted three public meetings and six stakeholder workshops in the period from August 20 - September 3, 2024. The public meetings were hybrid: offered both in-person and on Zoom. The stakeholder meetings were all virtual, offered on Zoom. A total of 119 residents and organizational representatives participated in the nine meetings.</w:t>
      </w:r>
    </w:p>
    <w:p>
      <w:pPr>
        <w:pStyle w:val="BodyText"/>
        <w:spacing w:before="4"/>
        <w:rPr>
          <w:sz w:val="16"/>
        </w:rPr>
      </w:pPr>
    </w:p>
    <w:p>
      <w:pPr>
        <w:pStyle w:val="BodyText"/>
        <w:spacing w:line="276" w:lineRule="auto" w:before="1"/>
        <w:ind w:left="220" w:right="569"/>
      </w:pPr>
      <w:r>
        <w:rPr/>
        <w:t>A second public meeting was held while the plan was on public display. A complete summary of the citizen participation effort is included in the Citizen Participation Appendix.</w:t>
      </w:r>
    </w:p>
    <w:p>
      <w:pPr>
        <w:pStyle w:val="BodyText"/>
        <w:spacing w:before="4"/>
        <w:rPr>
          <w:sz w:val="16"/>
        </w:rPr>
      </w:pPr>
    </w:p>
    <w:p>
      <w:pPr>
        <w:pStyle w:val="Heading4"/>
        <w:spacing w:before="1"/>
      </w:pPr>
      <w:r>
        <w:rPr/>
        <w:t>Citizen Participation Outreach</w:t>
      </w:r>
    </w:p>
    <w:p>
      <w:pPr>
        <w:pStyle w:val="BodyText"/>
        <w:spacing w:before="7"/>
        <w:rPr>
          <w:b/>
          <w:sz w:val="19"/>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2"/>
        <w:gridCol w:w="1385"/>
        <w:gridCol w:w="1418"/>
        <w:gridCol w:w="1581"/>
        <w:gridCol w:w="1462"/>
        <w:gridCol w:w="1690"/>
        <w:gridCol w:w="922"/>
      </w:tblGrid>
      <w:tr>
        <w:trPr>
          <w:trHeight w:val="1069" w:hRule="atLeast"/>
        </w:trPr>
        <w:tc>
          <w:tcPr>
            <w:tcW w:w="892" w:type="dxa"/>
          </w:tcPr>
          <w:p>
            <w:pPr>
              <w:pStyle w:val="TableParagraph"/>
              <w:spacing w:before="1"/>
              <w:ind w:left="289" w:right="88" w:hanging="174"/>
              <w:rPr>
                <w:b/>
                <w:sz w:val="22"/>
              </w:rPr>
            </w:pPr>
            <w:r>
              <w:rPr>
                <w:b/>
                <w:sz w:val="22"/>
              </w:rPr>
              <w:t>Sort Or der</w:t>
            </w:r>
          </w:p>
        </w:tc>
        <w:tc>
          <w:tcPr>
            <w:tcW w:w="1385" w:type="dxa"/>
          </w:tcPr>
          <w:p>
            <w:pPr>
              <w:pStyle w:val="TableParagraph"/>
              <w:spacing w:before="1"/>
              <w:ind w:left="398" w:right="113" w:hanging="255"/>
              <w:rPr>
                <w:b/>
                <w:sz w:val="22"/>
              </w:rPr>
            </w:pPr>
            <w:r>
              <w:rPr>
                <w:b/>
                <w:sz w:val="22"/>
              </w:rPr>
              <w:t>Mode of Ou treach</w:t>
            </w:r>
          </w:p>
        </w:tc>
        <w:tc>
          <w:tcPr>
            <w:tcW w:w="1418" w:type="dxa"/>
          </w:tcPr>
          <w:p>
            <w:pPr>
              <w:pStyle w:val="TableParagraph"/>
              <w:spacing w:before="1"/>
              <w:ind w:left="414" w:right="106" w:hanging="279"/>
              <w:rPr>
                <w:b/>
                <w:sz w:val="22"/>
              </w:rPr>
            </w:pPr>
            <w:r>
              <w:rPr>
                <w:b/>
                <w:sz w:val="22"/>
              </w:rPr>
              <w:t>Target of Ou treach</w:t>
            </w:r>
          </w:p>
        </w:tc>
        <w:tc>
          <w:tcPr>
            <w:tcW w:w="1581" w:type="dxa"/>
          </w:tcPr>
          <w:p>
            <w:pPr>
              <w:pStyle w:val="TableParagraph"/>
              <w:spacing w:before="1"/>
              <w:ind w:left="139" w:right="127" w:hanging="50"/>
              <w:jc w:val="center"/>
              <w:rPr>
                <w:b/>
                <w:sz w:val="22"/>
              </w:rPr>
            </w:pPr>
            <w:r>
              <w:rPr>
                <w:b/>
                <w:sz w:val="22"/>
              </w:rPr>
              <w:t>Summary of response/atte ndance</w:t>
            </w:r>
          </w:p>
        </w:tc>
        <w:tc>
          <w:tcPr>
            <w:tcW w:w="1462" w:type="dxa"/>
          </w:tcPr>
          <w:p>
            <w:pPr>
              <w:pStyle w:val="TableParagraph"/>
              <w:spacing w:before="1"/>
              <w:ind w:left="128" w:right="116" w:hanging="50"/>
              <w:jc w:val="center"/>
              <w:rPr>
                <w:b/>
                <w:sz w:val="22"/>
              </w:rPr>
            </w:pPr>
            <w:r>
              <w:rPr>
                <w:b/>
                <w:sz w:val="22"/>
              </w:rPr>
              <w:t>Summary of comments re ceived</w:t>
            </w:r>
          </w:p>
        </w:tc>
        <w:tc>
          <w:tcPr>
            <w:tcW w:w="1690" w:type="dxa"/>
          </w:tcPr>
          <w:p>
            <w:pPr>
              <w:pStyle w:val="TableParagraph"/>
              <w:spacing w:before="1"/>
              <w:ind w:left="158" w:right="146"/>
              <w:jc w:val="center"/>
              <w:rPr>
                <w:b/>
                <w:sz w:val="22"/>
              </w:rPr>
            </w:pPr>
            <w:r>
              <w:rPr>
                <w:b/>
                <w:sz w:val="22"/>
              </w:rPr>
              <w:t>Summary of co mments not accepted</w:t>
            </w:r>
          </w:p>
          <w:p>
            <w:pPr>
              <w:pStyle w:val="TableParagraph"/>
              <w:spacing w:line="242" w:lineRule="exact"/>
              <w:ind w:left="155" w:right="146"/>
              <w:jc w:val="center"/>
              <w:rPr>
                <w:b/>
                <w:sz w:val="22"/>
              </w:rPr>
            </w:pPr>
            <w:r>
              <w:rPr>
                <w:b/>
                <w:sz w:val="22"/>
              </w:rPr>
              <w:t>and reasons</w:t>
            </w:r>
          </w:p>
        </w:tc>
        <w:tc>
          <w:tcPr>
            <w:tcW w:w="922" w:type="dxa"/>
          </w:tcPr>
          <w:p>
            <w:pPr>
              <w:pStyle w:val="TableParagraph"/>
              <w:spacing w:before="1"/>
              <w:ind w:left="129" w:right="119"/>
              <w:jc w:val="center"/>
              <w:rPr>
                <w:b/>
                <w:sz w:val="22"/>
              </w:rPr>
            </w:pPr>
            <w:r>
              <w:rPr>
                <w:b/>
                <w:sz w:val="22"/>
              </w:rPr>
              <w:t>URL (If</w:t>
            </w:r>
          </w:p>
          <w:p>
            <w:pPr>
              <w:pStyle w:val="TableParagraph"/>
              <w:ind w:left="131" w:right="119"/>
              <w:jc w:val="center"/>
              <w:rPr>
                <w:b/>
                <w:sz w:val="22"/>
              </w:rPr>
            </w:pPr>
            <w:r>
              <w:rPr>
                <w:b/>
                <w:sz w:val="22"/>
              </w:rPr>
              <w:t>applica ble)</w:t>
            </w:r>
          </w:p>
        </w:tc>
      </w:tr>
      <w:tr>
        <w:trPr>
          <w:trHeight w:val="1259" w:hRule="atLeast"/>
        </w:trPr>
        <w:tc>
          <w:tcPr>
            <w:tcW w:w="892" w:type="dxa"/>
          </w:tcPr>
          <w:p>
            <w:pPr>
              <w:pStyle w:val="TableParagraph"/>
              <w:rPr>
                <w:b/>
                <w:sz w:val="24"/>
              </w:rPr>
            </w:pPr>
          </w:p>
          <w:p>
            <w:pPr>
              <w:pStyle w:val="TableParagraph"/>
              <w:spacing w:before="210"/>
              <w:ind w:left="112"/>
              <w:rPr>
                <w:rFonts w:ascii="Arial"/>
                <w:sz w:val="22"/>
              </w:rPr>
            </w:pPr>
            <w:r>
              <w:rPr>
                <w:rFonts w:ascii="Arial"/>
                <w:sz w:val="22"/>
              </w:rPr>
              <w:t>1</w:t>
            </w:r>
          </w:p>
        </w:tc>
        <w:tc>
          <w:tcPr>
            <w:tcW w:w="1385" w:type="dxa"/>
          </w:tcPr>
          <w:p>
            <w:pPr>
              <w:pStyle w:val="TableParagraph"/>
              <w:spacing w:before="6"/>
              <w:rPr>
                <w:b/>
                <w:sz w:val="20"/>
              </w:rPr>
            </w:pPr>
          </w:p>
          <w:p>
            <w:pPr>
              <w:pStyle w:val="TableParagraph"/>
              <w:ind w:left="112" w:right="357"/>
              <w:rPr>
                <w:rFonts w:ascii="Arial"/>
                <w:sz w:val="22"/>
              </w:rPr>
            </w:pPr>
            <w:r>
              <w:rPr>
                <w:rFonts w:ascii="Arial"/>
                <w:sz w:val="22"/>
              </w:rPr>
              <w:t>Public Needs Hearings</w:t>
            </w:r>
          </w:p>
        </w:tc>
        <w:tc>
          <w:tcPr>
            <w:tcW w:w="1418" w:type="dxa"/>
          </w:tcPr>
          <w:p>
            <w:pPr>
              <w:pStyle w:val="TableParagraph"/>
              <w:spacing w:before="124"/>
              <w:ind w:left="112" w:right="207"/>
              <w:rPr>
                <w:rFonts w:ascii="Arial"/>
                <w:sz w:val="22"/>
              </w:rPr>
            </w:pPr>
            <w:r>
              <w:rPr>
                <w:rFonts w:ascii="Arial"/>
                <w:sz w:val="22"/>
              </w:rPr>
              <w:t>Non- targeted/ broad community</w:t>
            </w:r>
          </w:p>
        </w:tc>
        <w:tc>
          <w:tcPr>
            <w:tcW w:w="1581" w:type="dxa"/>
          </w:tcPr>
          <w:p>
            <w:pPr>
              <w:pStyle w:val="TableParagraph"/>
              <w:rPr>
                <w:b/>
                <w:sz w:val="24"/>
              </w:rPr>
            </w:pPr>
          </w:p>
          <w:p>
            <w:pPr>
              <w:pStyle w:val="TableParagraph"/>
              <w:spacing w:before="210"/>
              <w:ind w:left="112"/>
              <w:rPr>
                <w:rFonts w:ascii="Arial"/>
                <w:sz w:val="22"/>
              </w:rPr>
            </w:pPr>
            <w:r>
              <w:rPr>
                <w:rFonts w:ascii="Arial"/>
                <w:sz w:val="22"/>
              </w:rPr>
              <w:t>47 attendees</w:t>
            </w:r>
          </w:p>
        </w:tc>
        <w:tc>
          <w:tcPr>
            <w:tcW w:w="1462" w:type="dxa"/>
          </w:tcPr>
          <w:p>
            <w:pPr>
              <w:pStyle w:val="TableParagraph"/>
              <w:spacing w:line="252" w:lineRule="exact" w:before="2"/>
              <w:ind w:left="112" w:right="121"/>
              <w:rPr>
                <w:rFonts w:ascii="Arial"/>
                <w:sz w:val="22"/>
              </w:rPr>
            </w:pPr>
            <w:r>
              <w:rPr>
                <w:rFonts w:ascii="Arial"/>
                <w:sz w:val="22"/>
              </w:rPr>
              <w:t>See comments in Citizen Participation Comments</w:t>
            </w:r>
          </w:p>
        </w:tc>
        <w:tc>
          <w:tcPr>
            <w:tcW w:w="1690" w:type="dxa"/>
          </w:tcPr>
          <w:p>
            <w:pPr>
              <w:pStyle w:val="TableParagraph"/>
              <w:rPr>
                <w:b/>
                <w:sz w:val="24"/>
              </w:rPr>
            </w:pPr>
          </w:p>
          <w:p>
            <w:pPr>
              <w:pStyle w:val="TableParagraph"/>
              <w:spacing w:before="210"/>
              <w:ind w:left="112"/>
              <w:rPr>
                <w:rFonts w:ascii="Arial"/>
                <w:sz w:val="22"/>
              </w:rPr>
            </w:pPr>
            <w:r>
              <w:rPr>
                <w:rFonts w:ascii="Arial"/>
                <w:sz w:val="22"/>
              </w:rPr>
              <w:t>None</w:t>
            </w:r>
          </w:p>
        </w:tc>
        <w:tc>
          <w:tcPr>
            <w:tcW w:w="922" w:type="dxa"/>
          </w:tcPr>
          <w:p>
            <w:pPr>
              <w:pStyle w:val="TableParagraph"/>
              <w:rPr>
                <w:rFonts w:ascii="Times New Roman"/>
                <w:sz w:val="22"/>
              </w:rPr>
            </w:pPr>
          </w:p>
        </w:tc>
      </w:tr>
      <w:tr>
        <w:trPr>
          <w:trHeight w:val="1257" w:hRule="atLeast"/>
        </w:trPr>
        <w:tc>
          <w:tcPr>
            <w:tcW w:w="892" w:type="dxa"/>
          </w:tcPr>
          <w:p>
            <w:pPr>
              <w:pStyle w:val="TableParagraph"/>
              <w:rPr>
                <w:b/>
                <w:sz w:val="24"/>
              </w:rPr>
            </w:pPr>
          </w:p>
          <w:p>
            <w:pPr>
              <w:pStyle w:val="TableParagraph"/>
              <w:spacing w:before="208"/>
              <w:ind w:left="112"/>
              <w:rPr>
                <w:rFonts w:ascii="Arial"/>
                <w:sz w:val="22"/>
              </w:rPr>
            </w:pPr>
            <w:r>
              <w:rPr>
                <w:rFonts w:ascii="Arial"/>
                <w:sz w:val="22"/>
              </w:rPr>
              <w:t>2</w:t>
            </w:r>
          </w:p>
        </w:tc>
        <w:tc>
          <w:tcPr>
            <w:tcW w:w="1385" w:type="dxa"/>
          </w:tcPr>
          <w:p>
            <w:pPr>
              <w:pStyle w:val="TableParagraph"/>
              <w:spacing w:before="8"/>
              <w:rPr>
                <w:b/>
                <w:sz w:val="30"/>
              </w:rPr>
            </w:pPr>
          </w:p>
          <w:p>
            <w:pPr>
              <w:pStyle w:val="TableParagraph"/>
              <w:ind w:left="112" w:right="137"/>
              <w:rPr>
                <w:rFonts w:ascii="Arial"/>
                <w:sz w:val="22"/>
              </w:rPr>
            </w:pPr>
            <w:r>
              <w:rPr>
                <w:rFonts w:ascii="Arial"/>
                <w:sz w:val="22"/>
              </w:rPr>
              <w:t>Stakeholde r Meetings</w:t>
            </w:r>
          </w:p>
        </w:tc>
        <w:tc>
          <w:tcPr>
            <w:tcW w:w="1418" w:type="dxa"/>
          </w:tcPr>
          <w:p>
            <w:pPr>
              <w:pStyle w:val="TableParagraph"/>
              <w:spacing w:before="122"/>
              <w:ind w:left="112" w:right="207"/>
              <w:rPr>
                <w:rFonts w:ascii="Arial"/>
                <w:sz w:val="22"/>
              </w:rPr>
            </w:pPr>
            <w:r>
              <w:rPr>
                <w:rFonts w:ascii="Arial"/>
                <w:sz w:val="22"/>
              </w:rPr>
              <w:t>Non- targeted/ broad community</w:t>
            </w:r>
          </w:p>
        </w:tc>
        <w:tc>
          <w:tcPr>
            <w:tcW w:w="1581" w:type="dxa"/>
          </w:tcPr>
          <w:p>
            <w:pPr>
              <w:pStyle w:val="TableParagraph"/>
              <w:rPr>
                <w:b/>
                <w:sz w:val="24"/>
              </w:rPr>
            </w:pPr>
          </w:p>
          <w:p>
            <w:pPr>
              <w:pStyle w:val="TableParagraph"/>
              <w:spacing w:before="208"/>
              <w:ind w:left="112"/>
              <w:rPr>
                <w:rFonts w:ascii="Arial"/>
                <w:sz w:val="22"/>
              </w:rPr>
            </w:pPr>
            <w:r>
              <w:rPr>
                <w:rFonts w:ascii="Arial"/>
                <w:sz w:val="22"/>
              </w:rPr>
              <w:t>72 attendees</w:t>
            </w:r>
          </w:p>
        </w:tc>
        <w:tc>
          <w:tcPr>
            <w:tcW w:w="1462" w:type="dxa"/>
          </w:tcPr>
          <w:p>
            <w:pPr>
              <w:pStyle w:val="TableParagraph"/>
              <w:ind w:left="112" w:right="121"/>
              <w:rPr>
                <w:rFonts w:ascii="Arial"/>
                <w:sz w:val="22"/>
              </w:rPr>
            </w:pPr>
            <w:r>
              <w:rPr>
                <w:rFonts w:ascii="Arial"/>
                <w:sz w:val="22"/>
              </w:rPr>
              <w:t>See comments in Citizen Participation</w:t>
            </w:r>
          </w:p>
          <w:p>
            <w:pPr>
              <w:pStyle w:val="TableParagraph"/>
              <w:spacing w:line="230" w:lineRule="exact"/>
              <w:ind w:left="112"/>
              <w:rPr>
                <w:rFonts w:ascii="Arial"/>
                <w:sz w:val="22"/>
              </w:rPr>
            </w:pPr>
            <w:r>
              <w:rPr>
                <w:rFonts w:ascii="Arial"/>
                <w:sz w:val="22"/>
              </w:rPr>
              <w:t>Comments</w:t>
            </w:r>
          </w:p>
        </w:tc>
        <w:tc>
          <w:tcPr>
            <w:tcW w:w="1690" w:type="dxa"/>
          </w:tcPr>
          <w:p>
            <w:pPr>
              <w:pStyle w:val="TableParagraph"/>
              <w:rPr>
                <w:b/>
                <w:sz w:val="24"/>
              </w:rPr>
            </w:pPr>
          </w:p>
          <w:p>
            <w:pPr>
              <w:pStyle w:val="TableParagraph"/>
              <w:spacing w:before="208"/>
              <w:ind w:left="112"/>
              <w:rPr>
                <w:rFonts w:ascii="Arial"/>
                <w:sz w:val="22"/>
              </w:rPr>
            </w:pPr>
            <w:r>
              <w:rPr>
                <w:rFonts w:ascii="Arial"/>
                <w:sz w:val="22"/>
              </w:rPr>
              <w:t>None</w:t>
            </w:r>
          </w:p>
        </w:tc>
        <w:tc>
          <w:tcPr>
            <w:tcW w:w="922" w:type="dxa"/>
          </w:tcPr>
          <w:p>
            <w:pPr>
              <w:pStyle w:val="TableParagraph"/>
              <w:rPr>
                <w:rFonts w:ascii="Times New Roman"/>
                <w:sz w:val="22"/>
              </w:rPr>
            </w:pPr>
          </w:p>
        </w:tc>
      </w:tr>
    </w:tbl>
    <w:p>
      <w:pPr>
        <w:spacing w:before="0"/>
        <w:ind w:left="535" w:right="874" w:firstLine="0"/>
        <w:jc w:val="center"/>
        <w:rPr>
          <w:rFonts w:ascii="Cambria" w:hAnsi="Cambria"/>
          <w:b/>
          <w:sz w:val="20"/>
        </w:rPr>
      </w:pPr>
      <w:r>
        <w:rPr>
          <w:rFonts w:ascii="Cambria" w:hAnsi="Cambria"/>
          <w:b/>
          <w:sz w:val="20"/>
        </w:rPr>
        <w:t>Table 4 – Citizen Participation Outreach</w:t>
      </w:r>
    </w:p>
    <w:p>
      <w:pPr>
        <w:spacing w:after="0"/>
        <w:jc w:val="center"/>
        <w:rPr>
          <w:rFonts w:ascii="Cambria" w:hAnsi="Cambria"/>
          <w:sz w:val="20"/>
        </w:rPr>
        <w:sectPr>
          <w:pgSz w:w="12240" w:h="15840"/>
          <w:pgMar w:header="769" w:footer="1321" w:top="1340" w:bottom="1540" w:left="1220" w:right="880"/>
        </w:sectPr>
      </w:pPr>
    </w:p>
    <w:p>
      <w:pPr>
        <w:pStyle w:val="BodyText"/>
        <w:rPr>
          <w:rFonts w:ascii="Cambria"/>
          <w:b/>
          <w:sz w:val="20"/>
        </w:rPr>
      </w:pPr>
    </w:p>
    <w:p>
      <w:pPr>
        <w:pStyle w:val="BodyText"/>
        <w:spacing w:before="10"/>
        <w:rPr>
          <w:rFonts w:ascii="Cambria"/>
          <w:b/>
          <w:sz w:val="15"/>
        </w:rPr>
      </w:pPr>
    </w:p>
    <w:p>
      <w:pPr>
        <w:spacing w:before="35"/>
        <w:ind w:left="535" w:right="874" w:firstLine="0"/>
        <w:jc w:val="center"/>
        <w:rPr>
          <w:sz w:val="32"/>
        </w:rPr>
      </w:pPr>
      <w:r>
        <w:rPr>
          <w:sz w:val="32"/>
        </w:rPr>
        <w:t>Needs Assessment</w:t>
      </w:r>
    </w:p>
    <w:p>
      <w:pPr>
        <w:spacing w:before="219"/>
        <w:ind w:left="220" w:right="0" w:firstLine="0"/>
        <w:jc w:val="left"/>
        <w:rPr>
          <w:b/>
          <w:sz w:val="32"/>
        </w:rPr>
      </w:pPr>
      <w:r>
        <w:rPr>
          <w:b/>
          <w:color w:val="0E4661"/>
          <w:sz w:val="32"/>
        </w:rPr>
        <w:t>NA-05 Overview</w:t>
      </w:r>
    </w:p>
    <w:p>
      <w:pPr>
        <w:pStyle w:val="Heading4"/>
        <w:spacing w:before="137"/>
      </w:pPr>
      <w:r>
        <w:rPr/>
        <w:t>Needs Assessment Overview</w:t>
      </w:r>
    </w:p>
    <w:p>
      <w:pPr>
        <w:pStyle w:val="BodyText"/>
        <w:spacing w:before="5"/>
        <w:rPr>
          <w:b/>
          <w:sz w:val="15"/>
        </w:rPr>
      </w:pPr>
    </w:p>
    <w:p>
      <w:pPr>
        <w:pStyle w:val="BodyText"/>
        <w:spacing w:line="276" w:lineRule="auto" w:before="55"/>
        <w:ind w:left="220" w:right="1176"/>
      </w:pPr>
      <w:r>
        <w:rPr/>
        <w:t>The City of Bloomington, Indiana, is committed to addressing the diverse housing and community development needs of its residents through a strategic five-year Consolidated Plan. This overview outlines the key needs identified through community engagement, data analysis, and stakeholder consultations, focusing on housing, economic development, public services, and community infrastructure.</w:t>
      </w:r>
    </w:p>
    <w:p>
      <w:pPr>
        <w:pStyle w:val="BodyText"/>
        <w:spacing w:before="5"/>
        <w:rPr>
          <w:sz w:val="16"/>
        </w:rPr>
      </w:pPr>
    </w:p>
    <w:p>
      <w:pPr>
        <w:pStyle w:val="BodyText"/>
        <w:spacing w:line="276" w:lineRule="auto"/>
        <w:ind w:left="220" w:right="674"/>
      </w:pPr>
      <w:r>
        <w:rPr/>
        <w:t>Bloomington is a vibrant city known for its cultural diversity, educational institutions, and economic opportunities. However, like many urban areas, it faces challenges related to affordable housing, economic disparities, and access to essential services. The city's population includes a mix of students, families, and low-income residents, necessitating a multifaceted approach to community development.</w:t>
      </w:r>
    </w:p>
    <w:p>
      <w:pPr>
        <w:pStyle w:val="BodyText"/>
        <w:spacing w:before="5"/>
        <w:rPr>
          <w:sz w:val="16"/>
        </w:rPr>
      </w:pPr>
    </w:p>
    <w:p>
      <w:pPr>
        <w:pStyle w:val="BodyText"/>
        <w:spacing w:line="276" w:lineRule="auto"/>
        <w:ind w:left="220" w:right="936"/>
      </w:pPr>
      <w:r>
        <w:rPr/>
        <w:t>A comprehensive community engagement process, including surveys, public meetings, and focus groups, has been conducted to ensure that the needs assessment reflects the voices of Bloomington residents. Input from community organizations, local government agencies, and residents has been integral in shaping the priorities outlined in this overview.</w:t>
      </w:r>
    </w:p>
    <w:p>
      <w:pPr>
        <w:pStyle w:val="BodyText"/>
        <w:spacing w:before="4"/>
        <w:rPr>
          <w:sz w:val="16"/>
        </w:rPr>
      </w:pPr>
    </w:p>
    <w:p>
      <w:pPr>
        <w:pStyle w:val="BodyText"/>
        <w:spacing w:line="276" w:lineRule="auto" w:before="1"/>
        <w:ind w:left="220" w:right="693"/>
      </w:pPr>
      <w:r>
        <w:rPr/>
        <w:t>This needs assessment serves as a foundation for Bloomington’s 5-Year Consolidated Plan, guiding the allocation of HUD resources to address pressing challenges in the community. By prioritizing affordable housing, economic development, public services, and infrastructure improvements, the city aims to foster a more equitable and thriving environment for all residents. Ongoing collaboration with community stakeholders will be essential to implement effective strategies and measure progress over the next five years.</w:t>
      </w:r>
    </w:p>
    <w:p>
      <w:pPr>
        <w:pStyle w:val="BodyText"/>
        <w:spacing w:before="4"/>
        <w:rPr>
          <w:sz w:val="16"/>
        </w:rPr>
      </w:pPr>
    </w:p>
    <w:p>
      <w:pPr>
        <w:pStyle w:val="BodyText"/>
        <w:spacing w:line="276" w:lineRule="auto"/>
        <w:ind w:left="220" w:right="571"/>
      </w:pPr>
      <w:r>
        <w:rPr/>
        <w:t>Data in this section was drawn primarily from HUD’s Comprehensive Housing Affordability Strategy (CHAS) data set, which is a custom tabulation of 2016-2020 American Community Survey (ACS) data from the Census Bureau. Supplemental data were drawn from the 2017-2021 CHAS and other sources </w:t>
      </w:r>
      <w:r>
        <w:rPr>
          <w:spacing w:val="-9"/>
        </w:rPr>
        <w:t>to </w:t>
      </w:r>
      <w:r>
        <w:rPr/>
        <w:t>provide additional context when needed. The CHAS data describes housing problems, such as overcrowding or incomplete kitchen and/or plumbing facilities as well as cost burden/severe cost burden.</w:t>
      </w:r>
    </w:p>
    <w:p>
      <w:pPr>
        <w:pStyle w:val="BodyText"/>
        <w:spacing w:before="5"/>
        <w:rPr>
          <w:sz w:val="16"/>
        </w:rPr>
      </w:pPr>
    </w:p>
    <w:p>
      <w:pPr>
        <w:pStyle w:val="BodyText"/>
        <w:spacing w:line="276" w:lineRule="auto"/>
        <w:ind w:left="220" w:right="626"/>
      </w:pPr>
      <w:r>
        <w:rPr/>
        <w:t>Where the HUD tables below report area median income (AMI), they refer to HUD Adjusted Median Family Income (HAMFI). HAMFI differs from AMI in that HAMFI adjusts for family size and are calibrated for a four-person household. HAMFI adjusts larger households up by adding 8% for each person above four and subtracting 10% for each person below four. AMI does not have this qualification.</w:t>
      </w:r>
    </w:p>
    <w:p>
      <w:pPr>
        <w:spacing w:after="0" w:line="276" w:lineRule="auto"/>
        <w:sectPr>
          <w:pgSz w:w="12240" w:h="15840"/>
          <w:pgMar w:header="769" w:footer="1321" w:top="1340" w:bottom="1540" w:left="1220" w:right="880"/>
        </w:sect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93"/>
      </w:pPr>
      <w:r>
        <w:rPr>
          <w:color w:val="0E4661"/>
        </w:rPr>
        <w:t>NA-10 Housing Needs Assessment - 24 CFR 91.205 (a,b,c)</w:t>
      </w:r>
    </w:p>
    <w:p>
      <w:pPr>
        <w:pStyle w:val="Heading4"/>
        <w:spacing w:before="137"/>
      </w:pPr>
      <w:r>
        <w:rPr/>
        <w:t>Summary of Housing Needs</w:t>
      </w:r>
    </w:p>
    <w:p>
      <w:pPr>
        <w:pStyle w:val="BodyText"/>
        <w:spacing w:before="11"/>
        <w:rPr>
          <w:b/>
          <w:sz w:val="19"/>
        </w:rPr>
      </w:pPr>
    </w:p>
    <w:p>
      <w:pPr>
        <w:pStyle w:val="BodyText"/>
        <w:spacing w:line="276" w:lineRule="auto" w:before="1"/>
        <w:ind w:left="220" w:right="654"/>
      </w:pPr>
      <w:r>
        <w:rPr/>
        <w:t>The City of Bloomington is the largest city in Monroe County with a population of 79,168 according to the 2020 Decennial Census and 79,006 according to the 2018-2022 5-Year American Community Survey (ACS). Approximately 56.7% of Monroe County residents are a part of the Bloomington community.</w:t>
      </w:r>
    </w:p>
    <w:p>
      <w:pPr>
        <w:pStyle w:val="BodyText"/>
        <w:spacing w:line="276" w:lineRule="auto"/>
        <w:ind w:left="220" w:right="588"/>
      </w:pPr>
      <w:r>
        <w:rPr/>
        <w:t>Since the previous AI, the population of Bloomington decreased by 4,630 (-5.54%) from 2017 to 2022. This trend matches that of Monroe County, which had a population decline of 3.03% but runs opposite of the State of Indiana, which saw slight growth of 2.57%. This decline may be a result of the COVID-19 pandemic and student housing at Indiana University Bloomington (IU); based on the US Decennial Censuses, 13,757 persons resided in college/university student housing in 2010 but declined to 10,645 students in 2020. Nevertheless, IU enrollment for 2020 was reported at 43,064 vs. 48,424 in 2024, a 12.45% increase and the highest enrollment count cited in the 10 years of available data (Indiana University Institutional Analytics, 2024). Many students seek off-campus housing due to the University’s low-bed inventory, and stakeholders have reported that there is intense competition between students and low-income residents for lower priced rental units. There is also concern that much of the newer rental housing built in the City is higher priced housing being built primarily for students. These factors mean that there are increasingly fewer housing options, including affordable options, for low-income residents, which will lead to higher rates of cost burden and potentially overcrowding among low- income residents.</w:t>
      </w:r>
    </w:p>
    <w:p>
      <w:pPr>
        <w:pStyle w:val="BodyText"/>
        <w:spacing w:before="4"/>
        <w:rPr>
          <w:sz w:val="16"/>
        </w:rPr>
      </w:pPr>
    </w:p>
    <w:p>
      <w:pPr>
        <w:pStyle w:val="Heading6"/>
        <w:ind w:left="220"/>
      </w:pPr>
      <w:r>
        <w:rPr/>
        <w:t>Supplemental Table:</w:t>
      </w:r>
    </w:p>
    <w:p>
      <w:pPr>
        <w:pStyle w:val="BodyText"/>
        <w:spacing w:before="2"/>
        <w:rPr>
          <w:b/>
          <w:sz w:val="23"/>
        </w:rPr>
      </w:pPr>
    </w:p>
    <w:p>
      <w:pPr>
        <w:spacing w:after="0"/>
        <w:rPr>
          <w:sz w:val="23"/>
        </w:rPr>
        <w:sectPr>
          <w:pgSz w:w="12240" w:h="15840"/>
          <w:pgMar w:header="769" w:footer="1321" w:top="1340" w:bottom="1540" w:left="1220" w:right="880"/>
        </w:sectPr>
      </w:pPr>
    </w:p>
    <w:p>
      <w:pPr>
        <w:tabs>
          <w:tab w:pos="4229" w:val="left" w:leader="none"/>
          <w:tab w:pos="5800" w:val="left" w:leader="none"/>
          <w:tab w:pos="7096" w:val="left" w:leader="none"/>
        </w:tabs>
        <w:spacing w:line="284" w:lineRule="exact" w:before="61"/>
        <w:ind w:left="2658" w:right="0" w:firstLine="0"/>
        <w:jc w:val="left"/>
        <w:rPr>
          <w:sz w:val="18"/>
        </w:rPr>
      </w:pPr>
      <w:r>
        <w:rPr>
          <w:sz w:val="20"/>
        </w:rPr>
        <w:t>2012</w:t>
        <w:tab/>
        <w:t>2017</w:t>
        <w:tab/>
        <w:t>2022</w:t>
        <w:tab/>
      </w:r>
      <w:r>
        <w:rPr>
          <w:position w:val="12"/>
          <w:sz w:val="18"/>
        </w:rPr>
        <w:t>% Change,</w:t>
      </w:r>
    </w:p>
    <w:p>
      <w:pPr>
        <w:spacing w:line="159" w:lineRule="exact" w:before="0"/>
        <w:ind w:left="0" w:right="0" w:firstLine="0"/>
        <w:jc w:val="right"/>
        <w:rPr>
          <w:sz w:val="18"/>
        </w:rPr>
      </w:pPr>
      <w:r>
        <w:rPr>
          <w:sz w:val="18"/>
        </w:rPr>
        <w:t>2012-2017</w:t>
      </w:r>
    </w:p>
    <w:p>
      <w:pPr>
        <w:spacing w:before="64"/>
        <w:ind w:left="511" w:right="932" w:firstLine="12"/>
        <w:jc w:val="left"/>
        <w:rPr>
          <w:sz w:val="18"/>
        </w:rPr>
      </w:pPr>
      <w:r>
        <w:rPr/>
        <w:br w:type="column"/>
      </w:r>
      <w:r>
        <w:rPr>
          <w:sz w:val="18"/>
        </w:rPr>
        <w:t>% Change, 2017-2022</w:t>
      </w:r>
    </w:p>
    <w:p>
      <w:pPr>
        <w:spacing w:after="0"/>
        <w:jc w:val="left"/>
        <w:rPr>
          <w:sz w:val="18"/>
        </w:rPr>
        <w:sectPr>
          <w:type w:val="continuous"/>
          <w:pgSz w:w="12240" w:h="15840"/>
          <w:pgMar w:top="1340" w:bottom="1520" w:left="1220" w:right="880"/>
          <w:cols w:num="2" w:equalWidth="0">
            <w:col w:w="7870" w:space="40"/>
            <w:col w:w="2230"/>
          </w:cols>
        </w:sectPr>
      </w:pPr>
    </w:p>
    <w:p>
      <w:pPr>
        <w:pStyle w:val="BodyText"/>
        <w:spacing w:before="5" w:after="1"/>
        <w:rPr>
          <w:sz w:val="8"/>
        </w:rPr>
      </w:pPr>
    </w:p>
    <w:tbl>
      <w:tblPr>
        <w:tblW w:w="0" w:type="auto"/>
        <w:jc w:val="left"/>
        <w:tblInd w:w="112" w:type="dxa"/>
        <w:tblBorders>
          <w:top w:val="single" w:sz="6" w:space="0" w:color="91CCDB"/>
          <w:left w:val="single" w:sz="6" w:space="0" w:color="91CCDB"/>
          <w:bottom w:val="single" w:sz="6" w:space="0" w:color="91CCDB"/>
          <w:right w:val="single" w:sz="6" w:space="0" w:color="91CCDB"/>
          <w:insideH w:val="single" w:sz="6" w:space="0" w:color="91CCDB"/>
          <w:insideV w:val="single" w:sz="6" w:space="0" w:color="91CCDB"/>
        </w:tblBorders>
        <w:tblLayout w:type="fixed"/>
        <w:tblCellMar>
          <w:top w:w="0" w:type="dxa"/>
          <w:left w:w="0" w:type="dxa"/>
          <w:bottom w:w="0" w:type="dxa"/>
          <w:right w:w="0" w:type="dxa"/>
        </w:tblCellMar>
        <w:tblLook w:val="01E0"/>
      </w:tblPr>
      <w:tblGrid>
        <w:gridCol w:w="1966"/>
        <w:gridCol w:w="1571"/>
        <w:gridCol w:w="1571"/>
        <w:gridCol w:w="1571"/>
        <w:gridCol w:w="1376"/>
        <w:gridCol w:w="1296"/>
      </w:tblGrid>
      <w:tr>
        <w:trPr>
          <w:trHeight w:val="432" w:hRule="atLeast"/>
        </w:trPr>
        <w:tc>
          <w:tcPr>
            <w:tcW w:w="1966" w:type="dxa"/>
            <w:vMerge w:val="restart"/>
            <w:tcBorders>
              <w:left w:val="nil"/>
              <w:bottom w:val="nil"/>
            </w:tcBorders>
          </w:tcPr>
          <w:p>
            <w:pPr>
              <w:pStyle w:val="TableParagraph"/>
              <w:spacing w:before="100"/>
              <w:ind w:left="119"/>
              <w:rPr>
                <w:b/>
                <w:sz w:val="20"/>
              </w:rPr>
            </w:pPr>
            <w:r>
              <w:rPr>
                <w:b/>
                <w:sz w:val="20"/>
              </w:rPr>
              <w:t>Bloomington</w:t>
            </w:r>
          </w:p>
          <w:p>
            <w:pPr>
              <w:pStyle w:val="TableParagraph"/>
              <w:spacing w:line="340" w:lineRule="atLeast" w:before="98"/>
              <w:ind w:left="119" w:right="503"/>
              <w:rPr>
                <w:b/>
                <w:sz w:val="20"/>
              </w:rPr>
            </w:pPr>
            <w:r>
              <w:rPr>
                <w:b/>
                <w:sz w:val="20"/>
              </w:rPr>
              <w:t>Monroe County State of Indiana</w:t>
            </w:r>
          </w:p>
        </w:tc>
        <w:tc>
          <w:tcPr>
            <w:tcW w:w="1571" w:type="dxa"/>
          </w:tcPr>
          <w:p>
            <w:pPr>
              <w:pStyle w:val="TableParagraph"/>
              <w:spacing w:before="97"/>
              <w:ind w:right="100"/>
              <w:jc w:val="right"/>
              <w:rPr>
                <w:sz w:val="20"/>
              </w:rPr>
            </w:pPr>
            <w:r>
              <w:rPr>
                <w:sz w:val="20"/>
              </w:rPr>
              <w:t>80,440</w:t>
            </w:r>
          </w:p>
        </w:tc>
        <w:tc>
          <w:tcPr>
            <w:tcW w:w="1571" w:type="dxa"/>
          </w:tcPr>
          <w:p>
            <w:pPr>
              <w:pStyle w:val="TableParagraph"/>
              <w:spacing w:before="97"/>
              <w:ind w:right="100"/>
              <w:jc w:val="right"/>
              <w:rPr>
                <w:sz w:val="20"/>
              </w:rPr>
            </w:pPr>
            <w:r>
              <w:rPr>
                <w:sz w:val="20"/>
              </w:rPr>
              <w:t>83,636</w:t>
            </w:r>
          </w:p>
        </w:tc>
        <w:tc>
          <w:tcPr>
            <w:tcW w:w="1571" w:type="dxa"/>
          </w:tcPr>
          <w:p>
            <w:pPr>
              <w:pStyle w:val="TableParagraph"/>
              <w:spacing w:before="97"/>
              <w:ind w:right="100"/>
              <w:jc w:val="right"/>
              <w:rPr>
                <w:sz w:val="20"/>
              </w:rPr>
            </w:pPr>
            <w:r>
              <w:rPr>
                <w:sz w:val="20"/>
              </w:rPr>
              <w:t>79,006</w:t>
            </w:r>
          </w:p>
        </w:tc>
        <w:tc>
          <w:tcPr>
            <w:tcW w:w="1376" w:type="dxa"/>
          </w:tcPr>
          <w:p>
            <w:pPr>
              <w:pStyle w:val="TableParagraph"/>
              <w:spacing w:before="97"/>
              <w:ind w:right="100"/>
              <w:jc w:val="right"/>
              <w:rPr>
                <w:sz w:val="20"/>
              </w:rPr>
            </w:pPr>
            <w:r>
              <w:rPr>
                <w:sz w:val="20"/>
              </w:rPr>
              <w:t>3.97%</w:t>
            </w:r>
          </w:p>
        </w:tc>
        <w:tc>
          <w:tcPr>
            <w:tcW w:w="1296" w:type="dxa"/>
          </w:tcPr>
          <w:p>
            <w:pPr>
              <w:pStyle w:val="TableParagraph"/>
              <w:spacing w:before="98"/>
              <w:ind w:right="100"/>
              <w:jc w:val="right"/>
              <w:rPr>
                <w:rFonts w:ascii="Cambria"/>
                <w:sz w:val="20"/>
              </w:rPr>
            </w:pPr>
            <w:r>
              <w:rPr>
                <w:rFonts w:ascii="Cambria"/>
                <w:sz w:val="20"/>
              </w:rPr>
              <w:t>-5.54%</w:t>
            </w:r>
          </w:p>
        </w:tc>
      </w:tr>
      <w:tr>
        <w:trPr>
          <w:trHeight w:val="420" w:hRule="atLeast"/>
        </w:trPr>
        <w:tc>
          <w:tcPr>
            <w:tcW w:w="1966" w:type="dxa"/>
            <w:vMerge/>
            <w:tcBorders>
              <w:top w:val="nil"/>
              <w:left w:val="nil"/>
              <w:bottom w:val="nil"/>
            </w:tcBorders>
          </w:tcPr>
          <w:p>
            <w:pPr>
              <w:rPr>
                <w:sz w:val="2"/>
                <w:szCs w:val="2"/>
              </w:rPr>
            </w:pPr>
          </w:p>
        </w:tc>
        <w:tc>
          <w:tcPr>
            <w:tcW w:w="1571" w:type="dxa"/>
          </w:tcPr>
          <w:p>
            <w:pPr>
              <w:pStyle w:val="TableParagraph"/>
              <w:spacing w:before="91"/>
              <w:ind w:right="100"/>
              <w:jc w:val="right"/>
              <w:rPr>
                <w:sz w:val="20"/>
              </w:rPr>
            </w:pPr>
            <w:r>
              <w:rPr>
                <w:sz w:val="20"/>
              </w:rPr>
              <w:t>138,048</w:t>
            </w:r>
          </w:p>
        </w:tc>
        <w:tc>
          <w:tcPr>
            <w:tcW w:w="1571" w:type="dxa"/>
          </w:tcPr>
          <w:p>
            <w:pPr>
              <w:pStyle w:val="TableParagraph"/>
              <w:spacing w:before="91"/>
              <w:ind w:right="100"/>
              <w:jc w:val="right"/>
              <w:rPr>
                <w:sz w:val="20"/>
              </w:rPr>
            </w:pPr>
            <w:r>
              <w:rPr>
                <w:sz w:val="20"/>
              </w:rPr>
              <w:t>144,436</w:t>
            </w:r>
          </w:p>
        </w:tc>
        <w:tc>
          <w:tcPr>
            <w:tcW w:w="1571" w:type="dxa"/>
          </w:tcPr>
          <w:p>
            <w:pPr>
              <w:pStyle w:val="TableParagraph"/>
              <w:spacing w:before="91"/>
              <w:ind w:right="100"/>
              <w:jc w:val="right"/>
              <w:rPr>
                <w:sz w:val="20"/>
              </w:rPr>
            </w:pPr>
            <w:r>
              <w:rPr>
                <w:sz w:val="20"/>
              </w:rPr>
              <w:t>140,065</w:t>
            </w:r>
          </w:p>
        </w:tc>
        <w:tc>
          <w:tcPr>
            <w:tcW w:w="1376" w:type="dxa"/>
          </w:tcPr>
          <w:p>
            <w:pPr>
              <w:pStyle w:val="TableParagraph"/>
              <w:spacing w:before="91"/>
              <w:ind w:right="100"/>
              <w:jc w:val="right"/>
              <w:rPr>
                <w:sz w:val="20"/>
              </w:rPr>
            </w:pPr>
            <w:r>
              <w:rPr>
                <w:sz w:val="20"/>
              </w:rPr>
              <w:t>4.63%</w:t>
            </w:r>
          </w:p>
        </w:tc>
        <w:tc>
          <w:tcPr>
            <w:tcW w:w="1296" w:type="dxa"/>
          </w:tcPr>
          <w:p>
            <w:pPr>
              <w:pStyle w:val="TableParagraph"/>
              <w:spacing w:before="91"/>
              <w:ind w:right="100"/>
              <w:jc w:val="right"/>
              <w:rPr>
                <w:sz w:val="20"/>
              </w:rPr>
            </w:pPr>
            <w:r>
              <w:rPr>
                <w:sz w:val="20"/>
              </w:rPr>
              <w:t>-3.03%</w:t>
            </w:r>
          </w:p>
        </w:tc>
      </w:tr>
      <w:tr>
        <w:trPr>
          <w:trHeight w:val="239" w:hRule="atLeast"/>
        </w:trPr>
        <w:tc>
          <w:tcPr>
            <w:tcW w:w="1966" w:type="dxa"/>
            <w:vMerge/>
            <w:tcBorders>
              <w:top w:val="nil"/>
              <w:left w:val="nil"/>
              <w:bottom w:val="nil"/>
            </w:tcBorders>
          </w:tcPr>
          <w:p>
            <w:pPr>
              <w:rPr>
                <w:sz w:val="2"/>
                <w:szCs w:val="2"/>
              </w:rPr>
            </w:pPr>
          </w:p>
        </w:tc>
        <w:tc>
          <w:tcPr>
            <w:tcW w:w="1571" w:type="dxa"/>
          </w:tcPr>
          <w:p>
            <w:pPr>
              <w:pStyle w:val="TableParagraph"/>
              <w:spacing w:line="217" w:lineRule="exact" w:before="2"/>
              <w:ind w:right="100"/>
              <w:jc w:val="right"/>
              <w:rPr>
                <w:rFonts w:ascii="Cambria"/>
                <w:sz w:val="20"/>
              </w:rPr>
            </w:pPr>
            <w:r>
              <w:rPr>
                <w:rFonts w:ascii="Cambria"/>
                <w:sz w:val="20"/>
              </w:rPr>
              <w:t>6,485,530</w:t>
            </w:r>
          </w:p>
        </w:tc>
        <w:tc>
          <w:tcPr>
            <w:tcW w:w="1571" w:type="dxa"/>
          </w:tcPr>
          <w:p>
            <w:pPr>
              <w:pStyle w:val="TableParagraph"/>
              <w:spacing w:line="217" w:lineRule="exact" w:before="2"/>
              <w:ind w:right="100"/>
              <w:jc w:val="right"/>
              <w:rPr>
                <w:rFonts w:ascii="Cambria"/>
                <w:sz w:val="20"/>
              </w:rPr>
            </w:pPr>
            <w:r>
              <w:rPr>
                <w:rFonts w:ascii="Cambria"/>
                <w:sz w:val="20"/>
              </w:rPr>
              <w:t>6,614,418</w:t>
            </w:r>
          </w:p>
        </w:tc>
        <w:tc>
          <w:tcPr>
            <w:tcW w:w="1571" w:type="dxa"/>
          </w:tcPr>
          <w:p>
            <w:pPr>
              <w:pStyle w:val="TableParagraph"/>
              <w:spacing w:line="217" w:lineRule="exact" w:before="2"/>
              <w:ind w:right="100"/>
              <w:jc w:val="right"/>
              <w:rPr>
                <w:rFonts w:ascii="Cambria"/>
                <w:sz w:val="20"/>
              </w:rPr>
            </w:pPr>
            <w:r>
              <w:rPr>
                <w:rFonts w:ascii="Cambria"/>
                <w:sz w:val="20"/>
              </w:rPr>
              <w:t>6,784,403</w:t>
            </w:r>
          </w:p>
        </w:tc>
        <w:tc>
          <w:tcPr>
            <w:tcW w:w="1376" w:type="dxa"/>
          </w:tcPr>
          <w:p>
            <w:pPr>
              <w:pStyle w:val="TableParagraph"/>
              <w:spacing w:line="218" w:lineRule="exact" w:before="1"/>
              <w:ind w:right="100"/>
              <w:jc w:val="right"/>
              <w:rPr>
                <w:sz w:val="20"/>
              </w:rPr>
            </w:pPr>
            <w:r>
              <w:rPr>
                <w:sz w:val="20"/>
              </w:rPr>
              <w:t>1.99%</w:t>
            </w:r>
          </w:p>
        </w:tc>
        <w:tc>
          <w:tcPr>
            <w:tcW w:w="1296" w:type="dxa"/>
          </w:tcPr>
          <w:p>
            <w:pPr>
              <w:pStyle w:val="TableParagraph"/>
              <w:spacing w:line="218" w:lineRule="exact" w:before="1"/>
              <w:ind w:right="100"/>
              <w:jc w:val="right"/>
              <w:rPr>
                <w:sz w:val="20"/>
              </w:rPr>
            </w:pPr>
            <w:r>
              <w:rPr>
                <w:sz w:val="20"/>
              </w:rPr>
              <w:t>2.57%</w:t>
            </w:r>
          </w:p>
        </w:tc>
      </w:tr>
    </w:tbl>
    <w:p>
      <w:pPr>
        <w:spacing w:before="3"/>
        <w:ind w:left="220" w:right="0" w:firstLine="0"/>
        <w:jc w:val="left"/>
        <w:rPr>
          <w:i/>
          <w:sz w:val="18"/>
        </w:rPr>
      </w:pPr>
      <w:r>
        <w:rPr>
          <w:i/>
          <w:color w:val="17345C"/>
          <w:sz w:val="18"/>
        </w:rPr>
        <w:t>SOURCES: US CENSUS BUREAU, ACS 5-YEAR ESTIMATES 2008-2012, 2013-2017, 2018-2022 (DP05)</w:t>
      </w:r>
    </w:p>
    <w:p>
      <w:pPr>
        <w:pStyle w:val="BodyText"/>
        <w:spacing w:before="1"/>
        <w:rPr>
          <w:i/>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8"/>
        <w:gridCol w:w="3262"/>
        <w:gridCol w:w="3264"/>
        <w:gridCol w:w="1166"/>
      </w:tblGrid>
      <w:tr>
        <w:trPr>
          <w:trHeight w:val="503" w:hRule="atLeast"/>
        </w:trPr>
        <w:tc>
          <w:tcPr>
            <w:tcW w:w="1658" w:type="dxa"/>
          </w:tcPr>
          <w:p>
            <w:pPr>
              <w:pStyle w:val="TableParagraph"/>
              <w:spacing w:before="1"/>
              <w:ind w:left="112"/>
              <w:rPr>
                <w:b/>
                <w:sz w:val="22"/>
              </w:rPr>
            </w:pPr>
            <w:r>
              <w:rPr>
                <w:b/>
                <w:sz w:val="22"/>
              </w:rPr>
              <w:t>Demographics</w:t>
            </w:r>
          </w:p>
        </w:tc>
        <w:tc>
          <w:tcPr>
            <w:tcW w:w="3262" w:type="dxa"/>
          </w:tcPr>
          <w:p>
            <w:pPr>
              <w:pStyle w:val="TableParagraph"/>
              <w:spacing w:before="1"/>
              <w:ind w:left="879"/>
              <w:rPr>
                <w:b/>
                <w:sz w:val="22"/>
              </w:rPr>
            </w:pPr>
            <w:r>
              <w:rPr>
                <w:b/>
                <w:sz w:val="22"/>
              </w:rPr>
              <w:t>Base Year: 2009</w:t>
            </w:r>
          </w:p>
        </w:tc>
        <w:tc>
          <w:tcPr>
            <w:tcW w:w="3264" w:type="dxa"/>
          </w:tcPr>
          <w:p>
            <w:pPr>
              <w:pStyle w:val="TableParagraph"/>
              <w:spacing w:before="1"/>
              <w:ind w:left="517"/>
              <w:rPr>
                <w:b/>
                <w:sz w:val="22"/>
              </w:rPr>
            </w:pPr>
            <w:r>
              <w:rPr>
                <w:b/>
                <w:sz w:val="22"/>
              </w:rPr>
              <w:t>Most Recent Year: 2020</w:t>
            </w:r>
          </w:p>
        </w:tc>
        <w:tc>
          <w:tcPr>
            <w:tcW w:w="1166" w:type="dxa"/>
          </w:tcPr>
          <w:p>
            <w:pPr>
              <w:pStyle w:val="TableParagraph"/>
              <w:spacing w:before="1"/>
              <w:ind w:right="125"/>
              <w:jc w:val="right"/>
              <w:rPr>
                <w:b/>
                <w:sz w:val="22"/>
              </w:rPr>
            </w:pPr>
            <w:r>
              <w:rPr>
                <w:b/>
                <w:sz w:val="22"/>
              </w:rPr>
              <w:t>% Change</w:t>
            </w:r>
          </w:p>
        </w:tc>
      </w:tr>
      <w:tr>
        <w:trPr>
          <w:trHeight w:val="503" w:hRule="atLeast"/>
        </w:trPr>
        <w:tc>
          <w:tcPr>
            <w:tcW w:w="1658" w:type="dxa"/>
          </w:tcPr>
          <w:p>
            <w:pPr>
              <w:pStyle w:val="TableParagraph"/>
              <w:spacing w:before="1"/>
              <w:ind w:left="112"/>
              <w:rPr>
                <w:sz w:val="22"/>
              </w:rPr>
            </w:pPr>
            <w:r>
              <w:rPr>
                <w:sz w:val="22"/>
              </w:rPr>
              <w:t>Population</w:t>
            </w:r>
          </w:p>
        </w:tc>
        <w:tc>
          <w:tcPr>
            <w:tcW w:w="3262" w:type="dxa"/>
          </w:tcPr>
          <w:p>
            <w:pPr>
              <w:pStyle w:val="TableParagraph"/>
              <w:spacing w:before="1"/>
              <w:ind w:right="100"/>
              <w:jc w:val="right"/>
              <w:rPr>
                <w:sz w:val="22"/>
              </w:rPr>
            </w:pPr>
            <w:r>
              <w:rPr>
                <w:sz w:val="22"/>
              </w:rPr>
              <w:t>82,815</w:t>
            </w:r>
          </w:p>
        </w:tc>
        <w:tc>
          <w:tcPr>
            <w:tcW w:w="3264" w:type="dxa"/>
          </w:tcPr>
          <w:p>
            <w:pPr>
              <w:pStyle w:val="TableParagraph"/>
              <w:spacing w:before="1"/>
              <w:ind w:right="100"/>
              <w:jc w:val="right"/>
              <w:rPr>
                <w:sz w:val="22"/>
              </w:rPr>
            </w:pPr>
            <w:r>
              <w:rPr>
                <w:sz w:val="22"/>
              </w:rPr>
              <w:t>84,690</w:t>
            </w:r>
          </w:p>
        </w:tc>
        <w:tc>
          <w:tcPr>
            <w:tcW w:w="1166" w:type="dxa"/>
          </w:tcPr>
          <w:p>
            <w:pPr>
              <w:pStyle w:val="TableParagraph"/>
              <w:spacing w:before="1"/>
              <w:ind w:right="100"/>
              <w:jc w:val="right"/>
              <w:rPr>
                <w:sz w:val="22"/>
              </w:rPr>
            </w:pPr>
            <w:r>
              <w:rPr>
                <w:sz w:val="22"/>
              </w:rPr>
              <w:t>2%</w:t>
            </w:r>
          </w:p>
        </w:tc>
      </w:tr>
      <w:tr>
        <w:trPr>
          <w:trHeight w:val="503" w:hRule="atLeast"/>
        </w:trPr>
        <w:tc>
          <w:tcPr>
            <w:tcW w:w="1658" w:type="dxa"/>
          </w:tcPr>
          <w:p>
            <w:pPr>
              <w:pStyle w:val="TableParagraph"/>
              <w:spacing w:before="1"/>
              <w:ind w:left="112"/>
              <w:rPr>
                <w:sz w:val="22"/>
              </w:rPr>
            </w:pPr>
            <w:r>
              <w:rPr>
                <w:sz w:val="22"/>
              </w:rPr>
              <w:t>Households</w:t>
            </w:r>
          </w:p>
        </w:tc>
        <w:tc>
          <w:tcPr>
            <w:tcW w:w="3262" w:type="dxa"/>
          </w:tcPr>
          <w:p>
            <w:pPr>
              <w:pStyle w:val="TableParagraph"/>
              <w:spacing w:before="1"/>
              <w:ind w:right="100"/>
              <w:jc w:val="right"/>
              <w:rPr>
                <w:sz w:val="22"/>
              </w:rPr>
            </w:pPr>
            <w:r>
              <w:rPr>
                <w:sz w:val="22"/>
              </w:rPr>
              <w:t>30,230</w:t>
            </w:r>
          </w:p>
        </w:tc>
        <w:tc>
          <w:tcPr>
            <w:tcW w:w="3264" w:type="dxa"/>
          </w:tcPr>
          <w:p>
            <w:pPr>
              <w:pStyle w:val="TableParagraph"/>
              <w:spacing w:before="1"/>
              <w:ind w:right="100"/>
              <w:jc w:val="right"/>
              <w:rPr>
                <w:sz w:val="22"/>
              </w:rPr>
            </w:pPr>
            <w:r>
              <w:rPr>
                <w:sz w:val="22"/>
              </w:rPr>
              <w:t>31,980</w:t>
            </w:r>
          </w:p>
        </w:tc>
        <w:tc>
          <w:tcPr>
            <w:tcW w:w="1166" w:type="dxa"/>
          </w:tcPr>
          <w:p>
            <w:pPr>
              <w:pStyle w:val="TableParagraph"/>
              <w:spacing w:before="1"/>
              <w:ind w:right="100"/>
              <w:jc w:val="right"/>
              <w:rPr>
                <w:sz w:val="22"/>
              </w:rPr>
            </w:pPr>
            <w:r>
              <w:rPr>
                <w:sz w:val="22"/>
              </w:rPr>
              <w:t>6%</w:t>
            </w:r>
          </w:p>
        </w:tc>
      </w:tr>
      <w:tr>
        <w:trPr>
          <w:trHeight w:val="503" w:hRule="atLeast"/>
        </w:trPr>
        <w:tc>
          <w:tcPr>
            <w:tcW w:w="1658" w:type="dxa"/>
          </w:tcPr>
          <w:p>
            <w:pPr>
              <w:pStyle w:val="TableParagraph"/>
              <w:spacing w:before="1"/>
              <w:ind w:left="112"/>
              <w:rPr>
                <w:sz w:val="22"/>
              </w:rPr>
            </w:pPr>
            <w:r>
              <w:rPr>
                <w:sz w:val="22"/>
              </w:rPr>
              <w:t>Median Income</w:t>
            </w:r>
          </w:p>
        </w:tc>
        <w:tc>
          <w:tcPr>
            <w:tcW w:w="3262" w:type="dxa"/>
          </w:tcPr>
          <w:p>
            <w:pPr>
              <w:pStyle w:val="TableParagraph"/>
              <w:spacing w:before="1"/>
              <w:ind w:right="100"/>
              <w:jc w:val="right"/>
              <w:rPr>
                <w:sz w:val="22"/>
              </w:rPr>
            </w:pPr>
            <w:r>
              <w:rPr>
                <w:sz w:val="22"/>
              </w:rPr>
              <w:t>$30,019.00</w:t>
            </w:r>
          </w:p>
        </w:tc>
        <w:tc>
          <w:tcPr>
            <w:tcW w:w="3264" w:type="dxa"/>
          </w:tcPr>
          <w:p>
            <w:pPr>
              <w:pStyle w:val="TableParagraph"/>
              <w:spacing w:before="1"/>
              <w:ind w:right="100"/>
              <w:jc w:val="right"/>
              <w:rPr>
                <w:sz w:val="22"/>
              </w:rPr>
            </w:pPr>
            <w:r>
              <w:rPr>
                <w:sz w:val="22"/>
              </w:rPr>
              <w:t>$41,354.00</w:t>
            </w:r>
          </w:p>
        </w:tc>
        <w:tc>
          <w:tcPr>
            <w:tcW w:w="1166" w:type="dxa"/>
          </w:tcPr>
          <w:p>
            <w:pPr>
              <w:pStyle w:val="TableParagraph"/>
              <w:spacing w:before="1"/>
              <w:ind w:right="100"/>
              <w:jc w:val="right"/>
              <w:rPr>
                <w:sz w:val="22"/>
              </w:rPr>
            </w:pPr>
            <w:r>
              <w:rPr>
                <w:sz w:val="22"/>
              </w:rPr>
              <w:t>38%</w:t>
            </w:r>
          </w:p>
        </w:tc>
      </w:tr>
    </w:tbl>
    <w:p>
      <w:pPr>
        <w:spacing w:after="0"/>
        <w:jc w:val="right"/>
        <w:rPr>
          <w:sz w:val="22"/>
        </w:rPr>
        <w:sectPr>
          <w:type w:val="continuous"/>
          <w:pgSz w:w="12240" w:h="15840"/>
          <w:pgMar w:top="1340" w:bottom="1520" w:left="1220" w:right="880"/>
        </w:sectPr>
      </w:pPr>
    </w:p>
    <w:p>
      <w:pPr>
        <w:spacing w:before="90"/>
        <w:ind w:left="535" w:right="874" w:firstLine="0"/>
        <w:jc w:val="center"/>
        <w:rPr>
          <w:rFonts w:ascii="Arial"/>
          <w:b/>
          <w:sz w:val="20"/>
        </w:rPr>
      </w:pPr>
      <w:r>
        <w:rPr>
          <w:rFonts w:ascii="Arial"/>
          <w:b/>
          <w:sz w:val="20"/>
        </w:rPr>
        <w:t>Table 5 - Housing Needs Assessment Demographics</w:t>
      </w:r>
    </w:p>
    <w:p>
      <w:pPr>
        <w:pStyle w:val="BodyText"/>
        <w:spacing w:before="9"/>
        <w:rPr>
          <w:rFonts w:ascii="Arial"/>
          <w:b/>
          <w:sz w:val="26"/>
        </w:rPr>
      </w:pPr>
    </w:p>
    <w:p>
      <w:pPr>
        <w:tabs>
          <w:tab w:pos="1767" w:val="left" w:leader="none"/>
        </w:tabs>
        <w:spacing w:before="1"/>
        <w:ind w:left="335" w:right="0" w:firstLine="0"/>
        <w:jc w:val="left"/>
        <w:rPr>
          <w:rFonts w:ascii="Arial"/>
          <w:sz w:val="16"/>
        </w:rPr>
      </w:pPr>
      <w:r>
        <w:rPr>
          <w:rFonts w:ascii="Arial"/>
          <w:b/>
          <w:sz w:val="16"/>
        </w:rPr>
        <w:t>Data Source:</w:t>
        <w:tab/>
      </w:r>
      <w:r>
        <w:rPr>
          <w:rFonts w:ascii="Arial"/>
          <w:sz w:val="16"/>
        </w:rPr>
        <w:t>2000 Census (Base Year), 2016-2020 ACS (Most Recent Year)</w:t>
      </w:r>
    </w:p>
    <w:p>
      <w:pPr>
        <w:spacing w:after="0"/>
        <w:jc w:val="left"/>
        <w:rPr>
          <w:rFonts w:ascii="Arial"/>
          <w:sz w:val="16"/>
        </w:rPr>
        <w:sectPr>
          <w:pgSz w:w="12240" w:h="15840"/>
          <w:pgMar w:header="769" w:footer="1321" w:top="1340" w:bottom="1540" w:left="1220" w:right="880"/>
        </w:sectPr>
      </w:pPr>
    </w:p>
    <w:p>
      <w:pPr>
        <w:pStyle w:val="BodyText"/>
        <w:spacing w:before="1"/>
        <w:rPr>
          <w:rFonts w:ascii="Arial"/>
          <w:sz w:val="21"/>
        </w:rPr>
      </w:pPr>
    </w:p>
    <w:p>
      <w:pPr>
        <w:pStyle w:val="Heading4"/>
        <w:spacing w:before="52"/>
      </w:pPr>
      <w:r>
        <w:rPr/>
        <w:t>Number of Households Table</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51"/>
        <w:gridCol w:w="1179"/>
        <w:gridCol w:w="1180"/>
        <w:gridCol w:w="1180"/>
        <w:gridCol w:w="1180"/>
        <w:gridCol w:w="1180"/>
      </w:tblGrid>
      <w:tr>
        <w:trPr>
          <w:trHeight w:val="532" w:hRule="atLeast"/>
        </w:trPr>
        <w:tc>
          <w:tcPr>
            <w:tcW w:w="3451" w:type="dxa"/>
          </w:tcPr>
          <w:p>
            <w:pPr>
              <w:pStyle w:val="TableParagraph"/>
              <w:rPr>
                <w:rFonts w:ascii="Times New Roman"/>
                <w:sz w:val="20"/>
              </w:rPr>
            </w:pPr>
          </w:p>
        </w:tc>
        <w:tc>
          <w:tcPr>
            <w:tcW w:w="1179" w:type="dxa"/>
          </w:tcPr>
          <w:p>
            <w:pPr>
              <w:pStyle w:val="TableParagraph"/>
              <w:spacing w:line="270" w:lineRule="atLeast"/>
              <w:ind w:left="274" w:right="245" w:firstLine="30"/>
              <w:rPr>
                <w:b/>
                <w:sz w:val="22"/>
              </w:rPr>
            </w:pPr>
            <w:r>
              <w:rPr>
                <w:b/>
                <w:sz w:val="22"/>
              </w:rPr>
              <w:t>0-30% HAMFI</w:t>
            </w:r>
          </w:p>
        </w:tc>
        <w:tc>
          <w:tcPr>
            <w:tcW w:w="1180" w:type="dxa"/>
          </w:tcPr>
          <w:p>
            <w:pPr>
              <w:pStyle w:val="TableParagraph"/>
              <w:spacing w:line="270" w:lineRule="atLeast"/>
              <w:ind w:left="275" w:right="166" w:hanging="80"/>
              <w:rPr>
                <w:b/>
                <w:sz w:val="22"/>
              </w:rPr>
            </w:pPr>
            <w:r>
              <w:rPr>
                <w:b/>
                <w:sz w:val="22"/>
              </w:rPr>
              <w:t>&gt;30-50% HAMFI</w:t>
            </w:r>
          </w:p>
        </w:tc>
        <w:tc>
          <w:tcPr>
            <w:tcW w:w="1180" w:type="dxa"/>
          </w:tcPr>
          <w:p>
            <w:pPr>
              <w:pStyle w:val="TableParagraph"/>
              <w:spacing w:line="270" w:lineRule="atLeast"/>
              <w:ind w:left="275" w:right="166" w:hanging="80"/>
              <w:rPr>
                <w:b/>
                <w:sz w:val="22"/>
              </w:rPr>
            </w:pPr>
            <w:r>
              <w:rPr>
                <w:b/>
                <w:sz w:val="22"/>
              </w:rPr>
              <w:t>&gt;50-80% HAMFI</w:t>
            </w:r>
          </w:p>
        </w:tc>
        <w:tc>
          <w:tcPr>
            <w:tcW w:w="1180" w:type="dxa"/>
          </w:tcPr>
          <w:p>
            <w:pPr>
              <w:pStyle w:val="TableParagraph"/>
              <w:spacing w:line="270" w:lineRule="atLeast"/>
              <w:ind w:left="275" w:right="111" w:hanging="136"/>
              <w:rPr>
                <w:b/>
                <w:sz w:val="22"/>
              </w:rPr>
            </w:pPr>
            <w:r>
              <w:rPr>
                <w:b/>
                <w:sz w:val="22"/>
              </w:rPr>
              <w:t>&gt;80-100% HAMFI</w:t>
            </w:r>
          </w:p>
        </w:tc>
        <w:tc>
          <w:tcPr>
            <w:tcW w:w="1180" w:type="dxa"/>
          </w:tcPr>
          <w:p>
            <w:pPr>
              <w:pStyle w:val="TableParagraph"/>
              <w:spacing w:line="270" w:lineRule="atLeast"/>
              <w:ind w:left="112" w:right="408"/>
              <w:rPr>
                <w:b/>
                <w:sz w:val="22"/>
              </w:rPr>
            </w:pPr>
            <w:r>
              <w:rPr>
                <w:b/>
                <w:sz w:val="22"/>
              </w:rPr>
              <w:t>&gt;100% HAMFI</w:t>
            </w:r>
          </w:p>
        </w:tc>
      </w:tr>
      <w:tr>
        <w:trPr>
          <w:trHeight w:val="495" w:hRule="atLeast"/>
        </w:trPr>
        <w:tc>
          <w:tcPr>
            <w:tcW w:w="3451" w:type="dxa"/>
          </w:tcPr>
          <w:p>
            <w:pPr>
              <w:pStyle w:val="TableParagraph"/>
              <w:spacing w:line="262" w:lineRule="exact"/>
              <w:ind w:left="112"/>
              <w:rPr>
                <w:sz w:val="22"/>
              </w:rPr>
            </w:pPr>
            <w:r>
              <w:rPr>
                <w:sz w:val="22"/>
              </w:rPr>
              <w:t>Total Households</w:t>
            </w:r>
          </w:p>
        </w:tc>
        <w:tc>
          <w:tcPr>
            <w:tcW w:w="1179" w:type="dxa"/>
          </w:tcPr>
          <w:p>
            <w:pPr>
              <w:pStyle w:val="TableParagraph"/>
              <w:spacing w:line="262" w:lineRule="exact"/>
              <w:ind w:right="100"/>
              <w:jc w:val="right"/>
              <w:rPr>
                <w:sz w:val="22"/>
              </w:rPr>
            </w:pPr>
            <w:r>
              <w:rPr>
                <w:sz w:val="22"/>
              </w:rPr>
              <w:t>8,760</w:t>
            </w:r>
          </w:p>
        </w:tc>
        <w:tc>
          <w:tcPr>
            <w:tcW w:w="1180" w:type="dxa"/>
          </w:tcPr>
          <w:p>
            <w:pPr>
              <w:pStyle w:val="TableParagraph"/>
              <w:spacing w:line="262" w:lineRule="exact"/>
              <w:ind w:right="100"/>
              <w:jc w:val="right"/>
              <w:rPr>
                <w:sz w:val="22"/>
              </w:rPr>
            </w:pPr>
            <w:r>
              <w:rPr>
                <w:sz w:val="22"/>
              </w:rPr>
              <w:t>4,815</w:t>
            </w:r>
          </w:p>
        </w:tc>
        <w:tc>
          <w:tcPr>
            <w:tcW w:w="1180" w:type="dxa"/>
          </w:tcPr>
          <w:p>
            <w:pPr>
              <w:pStyle w:val="TableParagraph"/>
              <w:spacing w:line="262" w:lineRule="exact"/>
              <w:ind w:right="100"/>
              <w:jc w:val="right"/>
              <w:rPr>
                <w:sz w:val="22"/>
              </w:rPr>
            </w:pPr>
            <w:r>
              <w:rPr>
                <w:sz w:val="22"/>
              </w:rPr>
              <w:t>5,785</w:t>
            </w:r>
          </w:p>
        </w:tc>
        <w:tc>
          <w:tcPr>
            <w:tcW w:w="1180" w:type="dxa"/>
          </w:tcPr>
          <w:p>
            <w:pPr>
              <w:pStyle w:val="TableParagraph"/>
              <w:spacing w:line="262" w:lineRule="exact"/>
              <w:ind w:right="100"/>
              <w:jc w:val="right"/>
              <w:rPr>
                <w:sz w:val="22"/>
              </w:rPr>
            </w:pPr>
            <w:r>
              <w:rPr>
                <w:sz w:val="22"/>
              </w:rPr>
              <w:t>2,965</w:t>
            </w:r>
          </w:p>
        </w:tc>
        <w:tc>
          <w:tcPr>
            <w:tcW w:w="1180" w:type="dxa"/>
          </w:tcPr>
          <w:p>
            <w:pPr>
              <w:pStyle w:val="TableParagraph"/>
              <w:spacing w:line="262" w:lineRule="exact"/>
              <w:ind w:right="100"/>
              <w:jc w:val="right"/>
              <w:rPr>
                <w:sz w:val="22"/>
              </w:rPr>
            </w:pPr>
            <w:r>
              <w:rPr>
                <w:sz w:val="22"/>
              </w:rPr>
              <w:t>9,645</w:t>
            </w:r>
          </w:p>
        </w:tc>
      </w:tr>
      <w:tr>
        <w:trPr>
          <w:trHeight w:val="503" w:hRule="atLeast"/>
        </w:trPr>
        <w:tc>
          <w:tcPr>
            <w:tcW w:w="3451" w:type="dxa"/>
          </w:tcPr>
          <w:p>
            <w:pPr>
              <w:pStyle w:val="TableParagraph"/>
              <w:spacing w:before="1"/>
              <w:ind w:left="112"/>
              <w:rPr>
                <w:sz w:val="22"/>
              </w:rPr>
            </w:pPr>
            <w:r>
              <w:rPr>
                <w:sz w:val="22"/>
              </w:rPr>
              <w:t>Small Family Households</w:t>
            </w:r>
          </w:p>
        </w:tc>
        <w:tc>
          <w:tcPr>
            <w:tcW w:w="1179" w:type="dxa"/>
          </w:tcPr>
          <w:p>
            <w:pPr>
              <w:pStyle w:val="TableParagraph"/>
              <w:spacing w:before="1"/>
              <w:ind w:right="100"/>
              <w:jc w:val="right"/>
              <w:rPr>
                <w:sz w:val="22"/>
              </w:rPr>
            </w:pPr>
            <w:r>
              <w:rPr>
                <w:sz w:val="22"/>
              </w:rPr>
              <w:t>1,385</w:t>
            </w:r>
          </w:p>
        </w:tc>
        <w:tc>
          <w:tcPr>
            <w:tcW w:w="1180" w:type="dxa"/>
          </w:tcPr>
          <w:p>
            <w:pPr>
              <w:pStyle w:val="TableParagraph"/>
              <w:spacing w:before="1"/>
              <w:ind w:right="100"/>
              <w:jc w:val="right"/>
              <w:rPr>
                <w:sz w:val="22"/>
              </w:rPr>
            </w:pPr>
            <w:r>
              <w:rPr>
                <w:sz w:val="22"/>
              </w:rPr>
              <w:t>785</w:t>
            </w:r>
          </w:p>
        </w:tc>
        <w:tc>
          <w:tcPr>
            <w:tcW w:w="1180" w:type="dxa"/>
          </w:tcPr>
          <w:p>
            <w:pPr>
              <w:pStyle w:val="TableParagraph"/>
              <w:spacing w:before="1"/>
              <w:ind w:right="100"/>
              <w:jc w:val="right"/>
              <w:rPr>
                <w:sz w:val="22"/>
              </w:rPr>
            </w:pPr>
            <w:r>
              <w:rPr>
                <w:sz w:val="22"/>
              </w:rPr>
              <w:t>1,470</w:t>
            </w:r>
          </w:p>
        </w:tc>
        <w:tc>
          <w:tcPr>
            <w:tcW w:w="1180" w:type="dxa"/>
          </w:tcPr>
          <w:p>
            <w:pPr>
              <w:pStyle w:val="TableParagraph"/>
              <w:spacing w:before="1"/>
              <w:ind w:right="100"/>
              <w:jc w:val="right"/>
              <w:rPr>
                <w:sz w:val="22"/>
              </w:rPr>
            </w:pPr>
            <w:r>
              <w:rPr>
                <w:sz w:val="22"/>
              </w:rPr>
              <w:t>980</w:t>
            </w:r>
          </w:p>
        </w:tc>
        <w:tc>
          <w:tcPr>
            <w:tcW w:w="1180" w:type="dxa"/>
          </w:tcPr>
          <w:p>
            <w:pPr>
              <w:pStyle w:val="TableParagraph"/>
              <w:spacing w:before="1"/>
              <w:ind w:right="100"/>
              <w:jc w:val="right"/>
              <w:rPr>
                <w:sz w:val="22"/>
              </w:rPr>
            </w:pPr>
            <w:r>
              <w:rPr>
                <w:sz w:val="22"/>
              </w:rPr>
              <w:t>4,165</w:t>
            </w:r>
          </w:p>
        </w:tc>
      </w:tr>
      <w:tr>
        <w:trPr>
          <w:trHeight w:val="503" w:hRule="atLeast"/>
        </w:trPr>
        <w:tc>
          <w:tcPr>
            <w:tcW w:w="3451" w:type="dxa"/>
          </w:tcPr>
          <w:p>
            <w:pPr>
              <w:pStyle w:val="TableParagraph"/>
              <w:spacing w:before="1"/>
              <w:ind w:left="112"/>
              <w:rPr>
                <w:sz w:val="22"/>
              </w:rPr>
            </w:pPr>
            <w:r>
              <w:rPr>
                <w:sz w:val="22"/>
              </w:rPr>
              <w:t>Large Family Households</w:t>
            </w:r>
          </w:p>
        </w:tc>
        <w:tc>
          <w:tcPr>
            <w:tcW w:w="1179" w:type="dxa"/>
          </w:tcPr>
          <w:p>
            <w:pPr>
              <w:pStyle w:val="TableParagraph"/>
              <w:spacing w:before="1"/>
              <w:ind w:right="100"/>
              <w:jc w:val="right"/>
              <w:rPr>
                <w:sz w:val="22"/>
              </w:rPr>
            </w:pPr>
            <w:r>
              <w:rPr>
                <w:sz w:val="22"/>
              </w:rPr>
              <w:t>180</w:t>
            </w:r>
          </w:p>
        </w:tc>
        <w:tc>
          <w:tcPr>
            <w:tcW w:w="1180" w:type="dxa"/>
          </w:tcPr>
          <w:p>
            <w:pPr>
              <w:pStyle w:val="TableParagraph"/>
              <w:spacing w:before="1"/>
              <w:ind w:right="100"/>
              <w:jc w:val="right"/>
              <w:rPr>
                <w:sz w:val="22"/>
              </w:rPr>
            </w:pPr>
            <w:r>
              <w:rPr>
                <w:sz w:val="22"/>
              </w:rPr>
              <w:t>14</w:t>
            </w:r>
          </w:p>
        </w:tc>
        <w:tc>
          <w:tcPr>
            <w:tcW w:w="1180" w:type="dxa"/>
          </w:tcPr>
          <w:p>
            <w:pPr>
              <w:pStyle w:val="TableParagraph"/>
              <w:spacing w:before="1"/>
              <w:ind w:right="100"/>
              <w:jc w:val="right"/>
              <w:rPr>
                <w:sz w:val="22"/>
              </w:rPr>
            </w:pPr>
            <w:r>
              <w:rPr>
                <w:sz w:val="22"/>
              </w:rPr>
              <w:t>130</w:t>
            </w:r>
          </w:p>
        </w:tc>
        <w:tc>
          <w:tcPr>
            <w:tcW w:w="1180" w:type="dxa"/>
          </w:tcPr>
          <w:p>
            <w:pPr>
              <w:pStyle w:val="TableParagraph"/>
              <w:spacing w:before="1"/>
              <w:ind w:right="100"/>
              <w:jc w:val="right"/>
              <w:rPr>
                <w:sz w:val="22"/>
              </w:rPr>
            </w:pPr>
            <w:r>
              <w:rPr>
                <w:sz w:val="22"/>
              </w:rPr>
              <w:t>55</w:t>
            </w:r>
          </w:p>
        </w:tc>
        <w:tc>
          <w:tcPr>
            <w:tcW w:w="1180" w:type="dxa"/>
          </w:tcPr>
          <w:p>
            <w:pPr>
              <w:pStyle w:val="TableParagraph"/>
              <w:spacing w:before="1"/>
              <w:ind w:right="100"/>
              <w:jc w:val="right"/>
              <w:rPr>
                <w:sz w:val="22"/>
              </w:rPr>
            </w:pPr>
            <w:r>
              <w:rPr>
                <w:sz w:val="22"/>
              </w:rPr>
              <w:t>315</w:t>
            </w:r>
          </w:p>
        </w:tc>
      </w:tr>
      <w:tr>
        <w:trPr>
          <w:trHeight w:val="812" w:hRule="atLeast"/>
        </w:trPr>
        <w:tc>
          <w:tcPr>
            <w:tcW w:w="3451" w:type="dxa"/>
          </w:tcPr>
          <w:p>
            <w:pPr>
              <w:pStyle w:val="TableParagraph"/>
              <w:spacing w:line="276" w:lineRule="auto" w:before="1"/>
              <w:ind w:left="112" w:right="442"/>
              <w:rPr>
                <w:sz w:val="22"/>
              </w:rPr>
            </w:pPr>
            <w:r>
              <w:rPr>
                <w:sz w:val="22"/>
              </w:rPr>
              <w:t>Household contains at least one person 62-74 years of age</w:t>
            </w:r>
          </w:p>
        </w:tc>
        <w:tc>
          <w:tcPr>
            <w:tcW w:w="1179" w:type="dxa"/>
          </w:tcPr>
          <w:p>
            <w:pPr>
              <w:pStyle w:val="TableParagraph"/>
              <w:spacing w:before="5"/>
              <w:rPr>
                <w:b/>
                <w:sz w:val="25"/>
              </w:rPr>
            </w:pPr>
          </w:p>
          <w:p>
            <w:pPr>
              <w:pStyle w:val="TableParagraph"/>
              <w:ind w:right="100"/>
              <w:jc w:val="right"/>
              <w:rPr>
                <w:sz w:val="22"/>
              </w:rPr>
            </w:pPr>
            <w:r>
              <w:rPr>
                <w:sz w:val="22"/>
              </w:rPr>
              <w:t>568</w:t>
            </w:r>
          </w:p>
        </w:tc>
        <w:tc>
          <w:tcPr>
            <w:tcW w:w="1180" w:type="dxa"/>
          </w:tcPr>
          <w:p>
            <w:pPr>
              <w:pStyle w:val="TableParagraph"/>
              <w:spacing w:before="5"/>
              <w:rPr>
                <w:b/>
                <w:sz w:val="25"/>
              </w:rPr>
            </w:pPr>
          </w:p>
          <w:p>
            <w:pPr>
              <w:pStyle w:val="TableParagraph"/>
              <w:ind w:right="100"/>
              <w:jc w:val="right"/>
              <w:rPr>
                <w:sz w:val="22"/>
              </w:rPr>
            </w:pPr>
            <w:r>
              <w:rPr>
                <w:sz w:val="22"/>
              </w:rPr>
              <w:t>450</w:t>
            </w:r>
          </w:p>
        </w:tc>
        <w:tc>
          <w:tcPr>
            <w:tcW w:w="1180" w:type="dxa"/>
          </w:tcPr>
          <w:p>
            <w:pPr>
              <w:pStyle w:val="TableParagraph"/>
              <w:spacing w:before="5"/>
              <w:rPr>
                <w:b/>
                <w:sz w:val="25"/>
              </w:rPr>
            </w:pPr>
          </w:p>
          <w:p>
            <w:pPr>
              <w:pStyle w:val="TableParagraph"/>
              <w:ind w:right="100"/>
              <w:jc w:val="right"/>
              <w:rPr>
                <w:sz w:val="22"/>
              </w:rPr>
            </w:pPr>
            <w:r>
              <w:rPr>
                <w:sz w:val="22"/>
              </w:rPr>
              <w:t>890</w:t>
            </w:r>
          </w:p>
        </w:tc>
        <w:tc>
          <w:tcPr>
            <w:tcW w:w="1180" w:type="dxa"/>
          </w:tcPr>
          <w:p>
            <w:pPr>
              <w:pStyle w:val="TableParagraph"/>
              <w:spacing w:before="5"/>
              <w:rPr>
                <w:b/>
                <w:sz w:val="25"/>
              </w:rPr>
            </w:pPr>
          </w:p>
          <w:p>
            <w:pPr>
              <w:pStyle w:val="TableParagraph"/>
              <w:ind w:right="100"/>
              <w:jc w:val="right"/>
              <w:rPr>
                <w:sz w:val="22"/>
              </w:rPr>
            </w:pPr>
            <w:r>
              <w:rPr>
                <w:sz w:val="22"/>
              </w:rPr>
              <w:t>535</w:t>
            </w:r>
          </w:p>
        </w:tc>
        <w:tc>
          <w:tcPr>
            <w:tcW w:w="1180" w:type="dxa"/>
          </w:tcPr>
          <w:p>
            <w:pPr>
              <w:pStyle w:val="TableParagraph"/>
              <w:spacing w:before="5"/>
              <w:rPr>
                <w:b/>
                <w:sz w:val="25"/>
              </w:rPr>
            </w:pPr>
          </w:p>
          <w:p>
            <w:pPr>
              <w:pStyle w:val="TableParagraph"/>
              <w:ind w:right="100"/>
              <w:jc w:val="right"/>
              <w:rPr>
                <w:sz w:val="22"/>
              </w:rPr>
            </w:pPr>
            <w:r>
              <w:rPr>
                <w:sz w:val="22"/>
              </w:rPr>
              <w:t>2,215</w:t>
            </w:r>
          </w:p>
        </w:tc>
      </w:tr>
      <w:tr>
        <w:trPr>
          <w:trHeight w:val="812" w:hRule="atLeast"/>
        </w:trPr>
        <w:tc>
          <w:tcPr>
            <w:tcW w:w="3451" w:type="dxa"/>
          </w:tcPr>
          <w:p>
            <w:pPr>
              <w:pStyle w:val="TableParagraph"/>
              <w:spacing w:line="276" w:lineRule="auto" w:before="1"/>
              <w:ind w:left="112" w:right="442"/>
              <w:rPr>
                <w:sz w:val="22"/>
              </w:rPr>
            </w:pPr>
            <w:r>
              <w:rPr>
                <w:sz w:val="22"/>
              </w:rPr>
              <w:t>Household contains at least one person age 75 or older</w:t>
            </w:r>
          </w:p>
        </w:tc>
        <w:tc>
          <w:tcPr>
            <w:tcW w:w="1179" w:type="dxa"/>
          </w:tcPr>
          <w:p>
            <w:pPr>
              <w:pStyle w:val="TableParagraph"/>
              <w:spacing w:before="5"/>
              <w:rPr>
                <w:b/>
                <w:sz w:val="25"/>
              </w:rPr>
            </w:pPr>
          </w:p>
          <w:p>
            <w:pPr>
              <w:pStyle w:val="TableParagraph"/>
              <w:ind w:right="100"/>
              <w:jc w:val="right"/>
              <w:rPr>
                <w:sz w:val="22"/>
              </w:rPr>
            </w:pPr>
            <w:r>
              <w:rPr>
                <w:sz w:val="22"/>
              </w:rPr>
              <w:t>200</w:t>
            </w:r>
          </w:p>
        </w:tc>
        <w:tc>
          <w:tcPr>
            <w:tcW w:w="1180" w:type="dxa"/>
          </w:tcPr>
          <w:p>
            <w:pPr>
              <w:pStyle w:val="TableParagraph"/>
              <w:spacing w:before="5"/>
              <w:rPr>
                <w:b/>
                <w:sz w:val="25"/>
              </w:rPr>
            </w:pPr>
          </w:p>
          <w:p>
            <w:pPr>
              <w:pStyle w:val="TableParagraph"/>
              <w:ind w:right="100"/>
              <w:jc w:val="right"/>
              <w:rPr>
                <w:sz w:val="22"/>
              </w:rPr>
            </w:pPr>
            <w:r>
              <w:rPr>
                <w:sz w:val="22"/>
              </w:rPr>
              <w:t>635</w:t>
            </w:r>
          </w:p>
        </w:tc>
        <w:tc>
          <w:tcPr>
            <w:tcW w:w="1180" w:type="dxa"/>
          </w:tcPr>
          <w:p>
            <w:pPr>
              <w:pStyle w:val="TableParagraph"/>
              <w:spacing w:before="5"/>
              <w:rPr>
                <w:b/>
                <w:sz w:val="25"/>
              </w:rPr>
            </w:pPr>
          </w:p>
          <w:p>
            <w:pPr>
              <w:pStyle w:val="TableParagraph"/>
              <w:ind w:right="100"/>
              <w:jc w:val="right"/>
              <w:rPr>
                <w:sz w:val="22"/>
              </w:rPr>
            </w:pPr>
            <w:r>
              <w:rPr>
                <w:sz w:val="22"/>
              </w:rPr>
              <w:t>405</w:t>
            </w:r>
          </w:p>
        </w:tc>
        <w:tc>
          <w:tcPr>
            <w:tcW w:w="1180" w:type="dxa"/>
          </w:tcPr>
          <w:p>
            <w:pPr>
              <w:pStyle w:val="TableParagraph"/>
              <w:spacing w:before="5"/>
              <w:rPr>
                <w:b/>
                <w:sz w:val="25"/>
              </w:rPr>
            </w:pPr>
          </w:p>
          <w:p>
            <w:pPr>
              <w:pStyle w:val="TableParagraph"/>
              <w:ind w:right="100"/>
              <w:jc w:val="right"/>
              <w:rPr>
                <w:sz w:val="22"/>
              </w:rPr>
            </w:pPr>
            <w:r>
              <w:rPr>
                <w:sz w:val="22"/>
              </w:rPr>
              <w:t>310</w:t>
            </w:r>
          </w:p>
        </w:tc>
        <w:tc>
          <w:tcPr>
            <w:tcW w:w="1180" w:type="dxa"/>
          </w:tcPr>
          <w:p>
            <w:pPr>
              <w:pStyle w:val="TableParagraph"/>
              <w:spacing w:before="5"/>
              <w:rPr>
                <w:b/>
                <w:sz w:val="25"/>
              </w:rPr>
            </w:pPr>
          </w:p>
          <w:p>
            <w:pPr>
              <w:pStyle w:val="TableParagraph"/>
              <w:ind w:right="100"/>
              <w:jc w:val="right"/>
              <w:rPr>
                <w:sz w:val="22"/>
              </w:rPr>
            </w:pPr>
            <w:r>
              <w:rPr>
                <w:sz w:val="22"/>
              </w:rPr>
              <w:t>1,150</w:t>
            </w:r>
          </w:p>
        </w:tc>
      </w:tr>
      <w:tr>
        <w:trPr>
          <w:trHeight w:val="812" w:hRule="atLeast"/>
        </w:trPr>
        <w:tc>
          <w:tcPr>
            <w:tcW w:w="3451" w:type="dxa"/>
          </w:tcPr>
          <w:p>
            <w:pPr>
              <w:pStyle w:val="TableParagraph"/>
              <w:spacing w:line="276" w:lineRule="auto" w:before="1"/>
              <w:ind w:left="112" w:right="528"/>
              <w:rPr>
                <w:sz w:val="22"/>
              </w:rPr>
            </w:pPr>
            <w:r>
              <w:rPr>
                <w:sz w:val="22"/>
              </w:rPr>
              <w:t>Households with one or more children 6 years old or younger</w:t>
            </w:r>
          </w:p>
        </w:tc>
        <w:tc>
          <w:tcPr>
            <w:tcW w:w="1179" w:type="dxa"/>
          </w:tcPr>
          <w:p>
            <w:pPr>
              <w:pStyle w:val="TableParagraph"/>
              <w:spacing w:before="5"/>
              <w:rPr>
                <w:b/>
                <w:sz w:val="25"/>
              </w:rPr>
            </w:pPr>
          </w:p>
          <w:p>
            <w:pPr>
              <w:pStyle w:val="TableParagraph"/>
              <w:ind w:right="100"/>
              <w:jc w:val="right"/>
              <w:rPr>
                <w:sz w:val="22"/>
              </w:rPr>
            </w:pPr>
            <w:r>
              <w:rPr>
                <w:sz w:val="22"/>
              </w:rPr>
              <w:t>555</w:t>
            </w:r>
          </w:p>
        </w:tc>
        <w:tc>
          <w:tcPr>
            <w:tcW w:w="1180" w:type="dxa"/>
          </w:tcPr>
          <w:p>
            <w:pPr>
              <w:pStyle w:val="TableParagraph"/>
              <w:spacing w:before="5"/>
              <w:rPr>
                <w:b/>
                <w:sz w:val="25"/>
              </w:rPr>
            </w:pPr>
          </w:p>
          <w:p>
            <w:pPr>
              <w:pStyle w:val="TableParagraph"/>
              <w:ind w:right="100"/>
              <w:jc w:val="right"/>
              <w:rPr>
                <w:sz w:val="22"/>
              </w:rPr>
            </w:pPr>
            <w:r>
              <w:rPr>
                <w:sz w:val="22"/>
              </w:rPr>
              <w:t>265</w:t>
            </w:r>
          </w:p>
        </w:tc>
        <w:tc>
          <w:tcPr>
            <w:tcW w:w="1180" w:type="dxa"/>
          </w:tcPr>
          <w:p>
            <w:pPr>
              <w:pStyle w:val="TableParagraph"/>
              <w:spacing w:before="5"/>
              <w:rPr>
                <w:b/>
                <w:sz w:val="25"/>
              </w:rPr>
            </w:pPr>
          </w:p>
          <w:p>
            <w:pPr>
              <w:pStyle w:val="TableParagraph"/>
              <w:ind w:right="100"/>
              <w:jc w:val="right"/>
              <w:rPr>
                <w:sz w:val="22"/>
              </w:rPr>
            </w:pPr>
            <w:r>
              <w:rPr>
                <w:sz w:val="22"/>
              </w:rPr>
              <w:t>505</w:t>
            </w:r>
          </w:p>
        </w:tc>
        <w:tc>
          <w:tcPr>
            <w:tcW w:w="1180" w:type="dxa"/>
          </w:tcPr>
          <w:p>
            <w:pPr>
              <w:pStyle w:val="TableParagraph"/>
              <w:spacing w:before="5"/>
              <w:rPr>
                <w:b/>
                <w:sz w:val="25"/>
              </w:rPr>
            </w:pPr>
          </w:p>
          <w:p>
            <w:pPr>
              <w:pStyle w:val="TableParagraph"/>
              <w:ind w:right="100"/>
              <w:jc w:val="right"/>
              <w:rPr>
                <w:sz w:val="22"/>
              </w:rPr>
            </w:pPr>
            <w:r>
              <w:rPr>
                <w:sz w:val="22"/>
              </w:rPr>
              <w:t>135</w:t>
            </w:r>
          </w:p>
        </w:tc>
        <w:tc>
          <w:tcPr>
            <w:tcW w:w="1180" w:type="dxa"/>
          </w:tcPr>
          <w:p>
            <w:pPr>
              <w:pStyle w:val="TableParagraph"/>
              <w:spacing w:before="5"/>
              <w:rPr>
                <w:b/>
                <w:sz w:val="25"/>
              </w:rPr>
            </w:pPr>
          </w:p>
          <w:p>
            <w:pPr>
              <w:pStyle w:val="TableParagraph"/>
              <w:ind w:right="100"/>
              <w:jc w:val="right"/>
              <w:rPr>
                <w:sz w:val="22"/>
              </w:rPr>
            </w:pPr>
            <w:r>
              <w:rPr>
                <w:sz w:val="22"/>
              </w:rPr>
              <w:t>859</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335" w:right="0" w:firstLine="0"/>
        <w:jc w:val="left"/>
        <w:rPr>
          <w:rFonts w:ascii="Arial"/>
          <w:b/>
          <w:sz w:val="20"/>
        </w:rPr>
      </w:pPr>
      <w:r>
        <w:rPr/>
        <w:br w:type="column"/>
      </w:r>
      <w:r>
        <w:rPr>
          <w:rFonts w:ascii="Arial"/>
          <w:b/>
          <w:sz w:val="20"/>
        </w:rPr>
        <w:t>Table 6 - Total Households Table</w:t>
      </w:r>
    </w:p>
    <w:p>
      <w:pPr>
        <w:spacing w:after="0"/>
        <w:jc w:val="left"/>
        <w:rPr>
          <w:rFonts w:ascii="Arial"/>
          <w:sz w:val="20"/>
        </w:rPr>
        <w:sectPr>
          <w:type w:val="continuous"/>
          <w:pgSz w:w="12240" w:h="15840"/>
          <w:pgMar w:top="1340" w:bottom="1520" w:left="1220" w:right="880"/>
          <w:cols w:num="3" w:equalWidth="0">
            <w:col w:w="872" w:space="198"/>
            <w:col w:w="1461" w:space="473"/>
            <w:col w:w="7136"/>
          </w:cols>
        </w:sectPr>
      </w:pPr>
    </w:p>
    <w:p>
      <w:pPr>
        <w:pStyle w:val="BodyText"/>
        <w:rPr>
          <w:rFonts w:ascii="Arial"/>
          <w:b/>
          <w:sz w:val="20"/>
        </w:rPr>
      </w:pPr>
    </w:p>
    <w:p>
      <w:pPr>
        <w:pStyle w:val="BodyText"/>
        <w:spacing w:before="9"/>
        <w:rPr>
          <w:rFonts w:ascii="Arial"/>
          <w:b/>
        </w:rPr>
      </w:pPr>
    </w:p>
    <w:p>
      <w:pPr>
        <w:pStyle w:val="Heading4"/>
        <w:spacing w:before="52"/>
      </w:pPr>
      <w:r>
        <w:rPr/>
        <w:t>Housing Needs Summary Tables</w:t>
      </w:r>
    </w:p>
    <w:p>
      <w:pPr>
        <w:pStyle w:val="BodyText"/>
        <w:rPr>
          <w:b/>
          <w:sz w:val="20"/>
        </w:rPr>
      </w:pPr>
    </w:p>
    <w:p>
      <w:pPr>
        <w:pStyle w:val="Heading5"/>
        <w:numPr>
          <w:ilvl w:val="0"/>
          <w:numId w:val="5"/>
        </w:numPr>
        <w:tabs>
          <w:tab w:pos="457" w:val="left" w:leader="none"/>
        </w:tabs>
        <w:spacing w:line="240" w:lineRule="auto" w:before="0" w:after="0"/>
        <w:ind w:left="456" w:right="0" w:hanging="237"/>
        <w:jc w:val="left"/>
      </w:pPr>
      <w:r>
        <w:rPr/>
        <w:t>Housing Problems (Households with one of the listed needs)</w:t>
      </w:r>
    </w:p>
    <w:p>
      <w:pPr>
        <w:pStyle w:val="BodyText"/>
        <w:spacing w:before="7"/>
        <w:rPr>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5"/>
        <w:gridCol w:w="795"/>
        <w:gridCol w:w="772"/>
        <w:gridCol w:w="771"/>
        <w:gridCol w:w="771"/>
        <w:gridCol w:w="771"/>
        <w:gridCol w:w="771"/>
        <w:gridCol w:w="771"/>
        <w:gridCol w:w="771"/>
        <w:gridCol w:w="771"/>
        <w:gridCol w:w="771"/>
      </w:tblGrid>
      <w:tr>
        <w:trPr>
          <w:trHeight w:val="239" w:hRule="atLeast"/>
        </w:trPr>
        <w:tc>
          <w:tcPr>
            <w:tcW w:w="1615" w:type="dxa"/>
            <w:vMerge w:val="restart"/>
          </w:tcPr>
          <w:p>
            <w:pPr>
              <w:pStyle w:val="TableParagraph"/>
              <w:rPr>
                <w:rFonts w:ascii="Times New Roman"/>
                <w:sz w:val="20"/>
              </w:rPr>
            </w:pPr>
          </w:p>
        </w:tc>
        <w:tc>
          <w:tcPr>
            <w:tcW w:w="3880" w:type="dxa"/>
            <w:gridSpan w:val="5"/>
          </w:tcPr>
          <w:p>
            <w:pPr>
              <w:pStyle w:val="TableParagraph"/>
              <w:spacing w:line="218" w:lineRule="exact" w:before="1"/>
              <w:ind w:left="1636" w:right="1626"/>
              <w:jc w:val="center"/>
              <w:rPr>
                <w:b/>
                <w:sz w:val="20"/>
              </w:rPr>
            </w:pPr>
            <w:r>
              <w:rPr>
                <w:b/>
                <w:sz w:val="20"/>
              </w:rPr>
              <w:t>Renter</w:t>
            </w:r>
          </w:p>
        </w:tc>
        <w:tc>
          <w:tcPr>
            <w:tcW w:w="3855" w:type="dxa"/>
            <w:gridSpan w:val="5"/>
          </w:tcPr>
          <w:p>
            <w:pPr>
              <w:pStyle w:val="TableParagraph"/>
              <w:spacing w:line="218" w:lineRule="exact" w:before="1"/>
              <w:ind w:left="1622" w:right="1613"/>
              <w:jc w:val="center"/>
              <w:rPr>
                <w:b/>
                <w:sz w:val="20"/>
              </w:rPr>
            </w:pPr>
            <w:r>
              <w:rPr>
                <w:b/>
                <w:sz w:val="20"/>
              </w:rPr>
              <w:t>Owner</w:t>
            </w:r>
          </w:p>
        </w:tc>
      </w:tr>
      <w:tr>
        <w:trPr>
          <w:trHeight w:val="727" w:hRule="atLeast"/>
        </w:trPr>
        <w:tc>
          <w:tcPr>
            <w:tcW w:w="1615" w:type="dxa"/>
            <w:vMerge/>
            <w:tcBorders>
              <w:top w:val="nil"/>
            </w:tcBorders>
          </w:tcPr>
          <w:p>
            <w:pPr>
              <w:rPr>
                <w:sz w:val="2"/>
                <w:szCs w:val="2"/>
              </w:rPr>
            </w:pPr>
          </w:p>
        </w:tc>
        <w:tc>
          <w:tcPr>
            <w:tcW w:w="795" w:type="dxa"/>
          </w:tcPr>
          <w:p>
            <w:pPr>
              <w:pStyle w:val="TableParagraph"/>
              <w:spacing w:before="1"/>
              <w:ind w:left="220" w:right="109" w:hanging="81"/>
              <w:rPr>
                <w:b/>
                <w:sz w:val="20"/>
              </w:rPr>
            </w:pPr>
            <w:r>
              <w:rPr>
                <w:b/>
                <w:sz w:val="20"/>
              </w:rPr>
              <w:t>0-30% AMI</w:t>
            </w:r>
          </w:p>
        </w:tc>
        <w:tc>
          <w:tcPr>
            <w:tcW w:w="772" w:type="dxa"/>
          </w:tcPr>
          <w:p>
            <w:pPr>
              <w:pStyle w:val="TableParagraph"/>
              <w:spacing w:before="1"/>
              <w:ind w:left="201"/>
              <w:rPr>
                <w:b/>
                <w:sz w:val="20"/>
              </w:rPr>
            </w:pPr>
            <w:r>
              <w:rPr>
                <w:b/>
                <w:sz w:val="20"/>
              </w:rPr>
              <w:t>&gt;30-</w:t>
            </w:r>
          </w:p>
          <w:p>
            <w:pPr>
              <w:pStyle w:val="TableParagraph"/>
              <w:spacing w:line="240" w:lineRule="atLeast"/>
              <w:ind w:left="208" w:right="179"/>
              <w:rPr>
                <w:b/>
                <w:sz w:val="20"/>
              </w:rPr>
            </w:pPr>
            <w:r>
              <w:rPr>
                <w:b/>
                <w:sz w:val="20"/>
              </w:rPr>
              <w:t>50% AMI</w:t>
            </w:r>
          </w:p>
        </w:tc>
        <w:tc>
          <w:tcPr>
            <w:tcW w:w="771" w:type="dxa"/>
          </w:tcPr>
          <w:p>
            <w:pPr>
              <w:pStyle w:val="TableParagraph"/>
              <w:spacing w:before="1"/>
              <w:ind w:left="201"/>
              <w:rPr>
                <w:b/>
                <w:sz w:val="20"/>
              </w:rPr>
            </w:pPr>
            <w:r>
              <w:rPr>
                <w:b/>
                <w:sz w:val="20"/>
              </w:rPr>
              <w:t>&gt;50-</w:t>
            </w:r>
          </w:p>
          <w:p>
            <w:pPr>
              <w:pStyle w:val="TableParagraph"/>
              <w:spacing w:line="240" w:lineRule="atLeast"/>
              <w:ind w:left="208" w:right="178"/>
              <w:rPr>
                <w:b/>
                <w:sz w:val="20"/>
              </w:rPr>
            </w:pPr>
            <w:r>
              <w:rPr>
                <w:b/>
                <w:sz w:val="20"/>
              </w:rPr>
              <w:t>80% AMI</w:t>
            </w:r>
          </w:p>
        </w:tc>
        <w:tc>
          <w:tcPr>
            <w:tcW w:w="771" w:type="dxa"/>
          </w:tcPr>
          <w:p>
            <w:pPr>
              <w:pStyle w:val="TableParagraph"/>
              <w:spacing w:before="1"/>
              <w:ind w:left="201"/>
              <w:rPr>
                <w:b/>
                <w:sz w:val="20"/>
              </w:rPr>
            </w:pPr>
            <w:r>
              <w:rPr>
                <w:b/>
                <w:sz w:val="20"/>
              </w:rPr>
              <w:t>&gt;80-</w:t>
            </w:r>
          </w:p>
          <w:p>
            <w:pPr>
              <w:pStyle w:val="TableParagraph"/>
              <w:spacing w:line="240" w:lineRule="atLeast"/>
              <w:ind w:left="208" w:right="129" w:hanging="51"/>
              <w:rPr>
                <w:b/>
                <w:sz w:val="20"/>
              </w:rPr>
            </w:pPr>
            <w:r>
              <w:rPr>
                <w:b/>
                <w:sz w:val="20"/>
              </w:rPr>
              <w:t>100% AMI</w:t>
            </w:r>
          </w:p>
        </w:tc>
        <w:tc>
          <w:tcPr>
            <w:tcW w:w="771" w:type="dxa"/>
          </w:tcPr>
          <w:p>
            <w:pPr>
              <w:pStyle w:val="TableParagraph"/>
              <w:spacing w:before="1"/>
              <w:ind w:left="171"/>
              <w:rPr>
                <w:b/>
                <w:sz w:val="20"/>
              </w:rPr>
            </w:pPr>
            <w:r>
              <w:rPr>
                <w:b/>
                <w:sz w:val="20"/>
              </w:rPr>
              <w:t>Total</w:t>
            </w:r>
          </w:p>
        </w:tc>
        <w:tc>
          <w:tcPr>
            <w:tcW w:w="771" w:type="dxa"/>
          </w:tcPr>
          <w:p>
            <w:pPr>
              <w:pStyle w:val="TableParagraph"/>
              <w:spacing w:before="1"/>
              <w:ind w:left="208" w:right="97" w:hanging="81"/>
              <w:rPr>
                <w:b/>
                <w:sz w:val="20"/>
              </w:rPr>
            </w:pPr>
            <w:r>
              <w:rPr>
                <w:b/>
                <w:sz w:val="20"/>
              </w:rPr>
              <w:t>0-30% AMI</w:t>
            </w:r>
          </w:p>
        </w:tc>
        <w:tc>
          <w:tcPr>
            <w:tcW w:w="771" w:type="dxa"/>
          </w:tcPr>
          <w:p>
            <w:pPr>
              <w:pStyle w:val="TableParagraph"/>
              <w:spacing w:before="1"/>
              <w:ind w:left="201"/>
              <w:rPr>
                <w:b/>
                <w:sz w:val="20"/>
              </w:rPr>
            </w:pPr>
            <w:r>
              <w:rPr>
                <w:b/>
                <w:sz w:val="20"/>
              </w:rPr>
              <w:t>&gt;30-</w:t>
            </w:r>
          </w:p>
          <w:p>
            <w:pPr>
              <w:pStyle w:val="TableParagraph"/>
              <w:spacing w:line="240" w:lineRule="atLeast"/>
              <w:ind w:left="208" w:right="178"/>
              <w:rPr>
                <w:b/>
                <w:sz w:val="20"/>
              </w:rPr>
            </w:pPr>
            <w:r>
              <w:rPr>
                <w:b/>
                <w:sz w:val="20"/>
              </w:rPr>
              <w:t>50% AMI</w:t>
            </w:r>
          </w:p>
        </w:tc>
        <w:tc>
          <w:tcPr>
            <w:tcW w:w="771" w:type="dxa"/>
          </w:tcPr>
          <w:p>
            <w:pPr>
              <w:pStyle w:val="TableParagraph"/>
              <w:spacing w:before="1"/>
              <w:ind w:left="201"/>
              <w:rPr>
                <w:b/>
                <w:sz w:val="20"/>
              </w:rPr>
            </w:pPr>
            <w:r>
              <w:rPr>
                <w:b/>
                <w:sz w:val="20"/>
              </w:rPr>
              <w:t>&gt;50-</w:t>
            </w:r>
          </w:p>
          <w:p>
            <w:pPr>
              <w:pStyle w:val="TableParagraph"/>
              <w:spacing w:line="240" w:lineRule="atLeast"/>
              <w:ind w:left="208" w:right="178"/>
              <w:rPr>
                <w:b/>
                <w:sz w:val="20"/>
              </w:rPr>
            </w:pPr>
            <w:r>
              <w:rPr>
                <w:b/>
                <w:sz w:val="20"/>
              </w:rPr>
              <w:t>80% AMI</w:t>
            </w:r>
          </w:p>
        </w:tc>
        <w:tc>
          <w:tcPr>
            <w:tcW w:w="771" w:type="dxa"/>
          </w:tcPr>
          <w:p>
            <w:pPr>
              <w:pStyle w:val="TableParagraph"/>
              <w:spacing w:before="1"/>
              <w:ind w:left="201"/>
              <w:rPr>
                <w:b/>
                <w:sz w:val="20"/>
              </w:rPr>
            </w:pPr>
            <w:r>
              <w:rPr>
                <w:b/>
                <w:sz w:val="20"/>
              </w:rPr>
              <w:t>&gt;80-</w:t>
            </w:r>
          </w:p>
          <w:p>
            <w:pPr>
              <w:pStyle w:val="TableParagraph"/>
              <w:spacing w:line="240" w:lineRule="atLeast"/>
              <w:ind w:left="208" w:right="129" w:hanging="51"/>
              <w:rPr>
                <w:b/>
                <w:sz w:val="20"/>
              </w:rPr>
            </w:pPr>
            <w:r>
              <w:rPr>
                <w:b/>
                <w:sz w:val="20"/>
              </w:rPr>
              <w:t>100% AMI</w:t>
            </w:r>
          </w:p>
        </w:tc>
        <w:tc>
          <w:tcPr>
            <w:tcW w:w="771" w:type="dxa"/>
          </w:tcPr>
          <w:p>
            <w:pPr>
              <w:pStyle w:val="TableParagraph"/>
              <w:spacing w:before="1"/>
              <w:ind w:right="159"/>
              <w:jc w:val="right"/>
              <w:rPr>
                <w:b/>
                <w:sz w:val="20"/>
              </w:rPr>
            </w:pPr>
            <w:r>
              <w:rPr>
                <w:b/>
                <w:sz w:val="20"/>
              </w:rPr>
              <w:t>Total</w:t>
            </w:r>
          </w:p>
        </w:tc>
      </w:tr>
      <w:tr>
        <w:trPr>
          <w:trHeight w:val="257" w:hRule="atLeast"/>
        </w:trPr>
        <w:tc>
          <w:tcPr>
            <w:tcW w:w="9350" w:type="dxa"/>
            <w:gridSpan w:val="11"/>
          </w:tcPr>
          <w:p>
            <w:pPr>
              <w:pStyle w:val="TableParagraph"/>
              <w:spacing w:line="238" w:lineRule="exact"/>
              <w:ind w:left="112"/>
              <w:rPr>
                <w:sz w:val="22"/>
              </w:rPr>
            </w:pPr>
            <w:r>
              <w:rPr>
                <w:sz w:val="22"/>
              </w:rPr>
              <w:t>NUMBER OF HOUSEHOLDS</w:t>
            </w:r>
          </w:p>
        </w:tc>
      </w:tr>
      <w:tr>
        <w:trPr>
          <w:trHeight w:val="2356" w:hRule="atLeast"/>
        </w:trPr>
        <w:tc>
          <w:tcPr>
            <w:tcW w:w="1615" w:type="dxa"/>
          </w:tcPr>
          <w:p>
            <w:pPr>
              <w:pStyle w:val="TableParagraph"/>
              <w:spacing w:line="276" w:lineRule="auto" w:before="1"/>
              <w:ind w:left="112" w:right="341"/>
              <w:rPr>
                <w:sz w:val="22"/>
              </w:rPr>
            </w:pPr>
            <w:r>
              <w:rPr>
                <w:sz w:val="22"/>
              </w:rPr>
              <w:t>Substandard Housing - Lacking complete plumbing or kitchen facilities</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left="454"/>
              <w:rPr>
                <w:sz w:val="22"/>
              </w:rPr>
            </w:pPr>
            <w:r>
              <w:rPr>
                <w:sz w:val="22"/>
              </w:rPr>
              <w:t>60</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left="431"/>
              <w:rPr>
                <w:sz w:val="22"/>
              </w:rPr>
            </w:pPr>
            <w:r>
              <w:rPr>
                <w:sz w:val="22"/>
              </w:rPr>
              <w:t>80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left="430"/>
              <w:rPr>
                <w:sz w:val="22"/>
              </w:rPr>
            </w:pPr>
            <w:r>
              <w:rPr>
                <w:sz w:val="22"/>
              </w:rPr>
              <w:t>50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left="430"/>
              <w:rPr>
                <w:sz w:val="22"/>
              </w:rPr>
            </w:pPr>
            <w:r>
              <w:rPr>
                <w:sz w:val="22"/>
              </w:rPr>
              <w:t>55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left="318"/>
              <w:rPr>
                <w:sz w:val="22"/>
              </w:rPr>
            </w:pPr>
            <w:r>
              <w:rPr>
                <w:sz w:val="22"/>
              </w:rPr>
              <w:t>245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r>
    </w:tbl>
    <w:p>
      <w:pPr>
        <w:spacing w:after="0"/>
        <w:jc w:val="right"/>
        <w:rPr>
          <w:sz w:val="22"/>
        </w:rPr>
        <w:sectPr>
          <w:type w:val="continuous"/>
          <w:pgSz w:w="12240" w:h="15840"/>
          <w:pgMar w:top="1340" w:bottom="1520" w:left="1220" w:right="880"/>
        </w:sectPr>
      </w:pPr>
    </w:p>
    <w:p>
      <w:pPr>
        <w:pStyle w:val="BodyText"/>
        <w:spacing w:before="11"/>
        <w:rPr>
          <w:sz w:val="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5"/>
        <w:gridCol w:w="795"/>
        <w:gridCol w:w="772"/>
        <w:gridCol w:w="771"/>
        <w:gridCol w:w="771"/>
        <w:gridCol w:w="771"/>
        <w:gridCol w:w="771"/>
        <w:gridCol w:w="771"/>
        <w:gridCol w:w="771"/>
        <w:gridCol w:w="771"/>
        <w:gridCol w:w="771"/>
      </w:tblGrid>
      <w:tr>
        <w:trPr>
          <w:trHeight w:val="2665" w:hRule="atLeast"/>
        </w:trPr>
        <w:tc>
          <w:tcPr>
            <w:tcW w:w="1615" w:type="dxa"/>
          </w:tcPr>
          <w:p>
            <w:pPr>
              <w:pStyle w:val="TableParagraph"/>
              <w:spacing w:line="276" w:lineRule="auto" w:before="1"/>
              <w:ind w:left="112" w:right="136"/>
              <w:rPr>
                <w:sz w:val="22"/>
              </w:rPr>
            </w:pPr>
            <w:r>
              <w:rPr>
                <w:sz w:val="22"/>
              </w:rPr>
              <w:t>Severely Overcrowded - With &gt;1.51 people per room (and complete kitchen and plumbing)</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115</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140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spacing w:before="1"/>
              <w:ind w:right="100"/>
              <w:jc w:val="right"/>
              <w:rPr>
                <w:sz w:val="22"/>
              </w:rPr>
            </w:pPr>
            <w:r>
              <w:rPr>
                <w:sz w:val="22"/>
              </w:rPr>
              <w:t>10</w:t>
            </w:r>
          </w:p>
        </w:tc>
      </w:tr>
      <w:tr>
        <w:trPr>
          <w:trHeight w:val="2356" w:hRule="atLeast"/>
        </w:trPr>
        <w:tc>
          <w:tcPr>
            <w:tcW w:w="1615" w:type="dxa"/>
          </w:tcPr>
          <w:p>
            <w:pPr>
              <w:pStyle w:val="TableParagraph"/>
              <w:spacing w:line="276" w:lineRule="auto" w:before="1"/>
              <w:ind w:left="112" w:right="136"/>
              <w:rPr>
                <w:sz w:val="22"/>
              </w:rPr>
            </w:pPr>
            <w:r>
              <w:rPr>
                <w:sz w:val="22"/>
              </w:rPr>
              <w:t>Overcrowded - With 1.01-1.5</w:t>
            </w:r>
          </w:p>
          <w:p>
            <w:pPr>
              <w:pStyle w:val="TableParagraph"/>
              <w:spacing w:line="276" w:lineRule="auto"/>
              <w:ind w:left="112" w:right="429"/>
              <w:rPr>
                <w:sz w:val="22"/>
              </w:rPr>
            </w:pPr>
            <w:r>
              <w:rPr>
                <w:sz w:val="22"/>
              </w:rPr>
              <w:t>people per room (and none of the above problems)</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90</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25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130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20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24</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44</w:t>
            </w:r>
          </w:p>
        </w:tc>
      </w:tr>
      <w:tr>
        <w:trPr>
          <w:trHeight w:val="2356" w:hRule="atLeast"/>
        </w:trPr>
        <w:tc>
          <w:tcPr>
            <w:tcW w:w="1615" w:type="dxa"/>
          </w:tcPr>
          <w:p>
            <w:pPr>
              <w:pStyle w:val="TableParagraph"/>
              <w:spacing w:line="276" w:lineRule="auto" w:before="1"/>
              <w:ind w:left="112" w:right="114"/>
              <w:rPr>
                <w:sz w:val="22"/>
              </w:rPr>
            </w:pPr>
            <w:r>
              <w:rPr>
                <w:sz w:val="22"/>
              </w:rPr>
              <w:t>Housing cost burden greater than 50% of income (and none of the above problems)</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5,405</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1,325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115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6,860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440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120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80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640</w:t>
            </w:r>
          </w:p>
        </w:tc>
      </w:tr>
      <w:tr>
        <w:trPr>
          <w:trHeight w:val="2356" w:hRule="atLeast"/>
        </w:trPr>
        <w:tc>
          <w:tcPr>
            <w:tcW w:w="1615" w:type="dxa"/>
          </w:tcPr>
          <w:p>
            <w:pPr>
              <w:pStyle w:val="TableParagraph"/>
              <w:spacing w:line="276" w:lineRule="auto" w:before="1"/>
              <w:ind w:left="112" w:right="114"/>
              <w:rPr>
                <w:sz w:val="22"/>
              </w:rPr>
            </w:pPr>
            <w:r>
              <w:rPr>
                <w:sz w:val="22"/>
              </w:rPr>
              <w:t>Housing cost burden greater than 30% of income (and none of the above problems)</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805</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1,840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1,295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165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4,105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124</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174</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415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160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1"/>
              <w:rPr>
                <w:sz w:val="19"/>
              </w:rPr>
            </w:pPr>
          </w:p>
          <w:p>
            <w:pPr>
              <w:pStyle w:val="TableParagraph"/>
              <w:ind w:right="100"/>
              <w:jc w:val="right"/>
              <w:rPr>
                <w:sz w:val="22"/>
              </w:rPr>
            </w:pPr>
            <w:r>
              <w:rPr>
                <w:sz w:val="22"/>
              </w:rPr>
              <w:t>873</w:t>
            </w:r>
          </w:p>
        </w:tc>
      </w:tr>
      <w:tr>
        <w:trPr>
          <w:trHeight w:val="1739" w:hRule="atLeast"/>
        </w:trPr>
        <w:tc>
          <w:tcPr>
            <w:tcW w:w="1615" w:type="dxa"/>
          </w:tcPr>
          <w:p>
            <w:pPr>
              <w:pStyle w:val="TableParagraph"/>
              <w:spacing w:line="276" w:lineRule="auto" w:before="1"/>
              <w:ind w:left="112" w:right="210"/>
              <w:rPr>
                <w:sz w:val="22"/>
              </w:rPr>
            </w:pPr>
            <w:r>
              <w:rPr>
                <w:sz w:val="22"/>
              </w:rPr>
              <w:t>Zero/negative Income (and none of the above problems)</w:t>
            </w:r>
          </w:p>
        </w:tc>
        <w:tc>
          <w:tcPr>
            <w:tcW w:w="79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1,085</w:t>
            </w:r>
          </w:p>
        </w:tc>
        <w:tc>
          <w:tcPr>
            <w:tcW w:w="77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1,085</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34</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7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34</w:t>
            </w:r>
          </w:p>
        </w:tc>
      </w:tr>
    </w:tbl>
    <w:p>
      <w:pPr>
        <w:spacing w:after="0"/>
        <w:jc w:val="right"/>
        <w:rPr>
          <w:sz w:val="22"/>
        </w:rPr>
        <w:sectPr>
          <w:pgSz w:w="12240" w:h="15840"/>
          <w:pgMar w:header="769" w:footer="1321" w:top="1340" w:bottom="1540" w:left="1220" w:right="880"/>
        </w:sectPr>
      </w:pPr>
    </w:p>
    <w:p>
      <w:pPr>
        <w:pStyle w:val="BodyText"/>
        <w:spacing w:before="1"/>
        <w:rPr>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335" w:right="0" w:firstLine="0"/>
        <w:jc w:val="left"/>
        <w:rPr>
          <w:rFonts w:ascii="Arial" w:hAnsi="Arial"/>
          <w:b/>
          <w:sz w:val="20"/>
        </w:rPr>
      </w:pPr>
      <w:r>
        <w:rPr/>
        <w:br w:type="column"/>
      </w:r>
      <w:r>
        <w:rPr>
          <w:rFonts w:ascii="Arial" w:hAnsi="Arial"/>
          <w:b/>
          <w:sz w:val="20"/>
        </w:rPr>
        <w:t>Table 7 – Housing Problems Table</w:t>
      </w:r>
    </w:p>
    <w:p>
      <w:pPr>
        <w:spacing w:after="0"/>
        <w:jc w:val="left"/>
        <w:rPr>
          <w:rFonts w:ascii="Arial" w:hAnsi="Arial"/>
          <w:sz w:val="20"/>
        </w:rPr>
        <w:sectPr>
          <w:type w:val="continuous"/>
          <w:pgSz w:w="12240" w:h="15840"/>
          <w:pgMar w:top="1340" w:bottom="1520" w:left="1220" w:right="880"/>
          <w:cols w:num="3" w:equalWidth="0">
            <w:col w:w="872" w:space="94"/>
            <w:col w:w="1461" w:space="510"/>
            <w:col w:w="7203"/>
          </w:cols>
        </w:sectPr>
      </w:pPr>
    </w:p>
    <w:p>
      <w:pPr>
        <w:pStyle w:val="Heading5"/>
        <w:numPr>
          <w:ilvl w:val="0"/>
          <w:numId w:val="5"/>
        </w:numPr>
        <w:tabs>
          <w:tab w:pos="457" w:val="left" w:leader="none"/>
        </w:tabs>
        <w:spacing w:line="276" w:lineRule="auto" w:before="94" w:after="0"/>
        <w:ind w:left="220" w:right="772" w:firstLine="0"/>
        <w:jc w:val="left"/>
      </w:pPr>
      <w:r>
        <w:rPr/>
        <w:t>Housing Problems 2 (Households with one or more Severe Housing Problems: Lacks </w:t>
      </w:r>
      <w:r>
        <w:rPr>
          <w:spacing w:val="-3"/>
        </w:rPr>
        <w:t>kitchen </w:t>
      </w:r>
      <w:r>
        <w:rPr/>
        <w:t>or complete plumbing, severe overcrowding, severe cost burden)</w:t>
      </w:r>
    </w:p>
    <w:p>
      <w:pPr>
        <w:pStyle w:val="BodyText"/>
        <w:rPr>
          <w:sz w:val="1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83"/>
        <w:gridCol w:w="763"/>
        <w:gridCol w:w="762"/>
        <w:gridCol w:w="762"/>
        <w:gridCol w:w="762"/>
        <w:gridCol w:w="860"/>
        <w:gridCol w:w="630"/>
        <w:gridCol w:w="642"/>
        <w:gridCol w:w="762"/>
        <w:gridCol w:w="762"/>
        <w:gridCol w:w="762"/>
      </w:tblGrid>
      <w:tr>
        <w:trPr>
          <w:trHeight w:val="239" w:hRule="atLeast"/>
        </w:trPr>
        <w:tc>
          <w:tcPr>
            <w:tcW w:w="1883" w:type="dxa"/>
            <w:vMerge w:val="restart"/>
          </w:tcPr>
          <w:p>
            <w:pPr>
              <w:pStyle w:val="TableParagraph"/>
              <w:rPr>
                <w:rFonts w:ascii="Times New Roman"/>
                <w:sz w:val="20"/>
              </w:rPr>
            </w:pPr>
          </w:p>
        </w:tc>
        <w:tc>
          <w:tcPr>
            <w:tcW w:w="3909" w:type="dxa"/>
            <w:gridSpan w:val="5"/>
          </w:tcPr>
          <w:p>
            <w:pPr>
              <w:pStyle w:val="TableParagraph"/>
              <w:spacing w:line="218" w:lineRule="exact" w:before="1"/>
              <w:ind w:left="1651" w:right="1641"/>
              <w:jc w:val="center"/>
              <w:rPr>
                <w:b/>
                <w:sz w:val="20"/>
              </w:rPr>
            </w:pPr>
            <w:r>
              <w:rPr>
                <w:b/>
                <w:sz w:val="20"/>
              </w:rPr>
              <w:t>Renter</w:t>
            </w:r>
          </w:p>
        </w:tc>
        <w:tc>
          <w:tcPr>
            <w:tcW w:w="3558" w:type="dxa"/>
            <w:gridSpan w:val="5"/>
          </w:tcPr>
          <w:p>
            <w:pPr>
              <w:pStyle w:val="TableParagraph"/>
              <w:spacing w:line="218" w:lineRule="exact" w:before="1"/>
              <w:ind w:left="1474" w:right="1464"/>
              <w:jc w:val="center"/>
              <w:rPr>
                <w:b/>
                <w:sz w:val="20"/>
              </w:rPr>
            </w:pPr>
            <w:r>
              <w:rPr>
                <w:b/>
                <w:sz w:val="20"/>
              </w:rPr>
              <w:t>Owner</w:t>
            </w:r>
          </w:p>
        </w:tc>
      </w:tr>
      <w:tr>
        <w:trPr>
          <w:trHeight w:val="727" w:hRule="atLeast"/>
        </w:trPr>
        <w:tc>
          <w:tcPr>
            <w:tcW w:w="1883" w:type="dxa"/>
            <w:vMerge/>
            <w:tcBorders>
              <w:top w:val="nil"/>
            </w:tcBorders>
          </w:tcPr>
          <w:p>
            <w:pPr>
              <w:rPr>
                <w:sz w:val="2"/>
                <w:szCs w:val="2"/>
              </w:rPr>
            </w:pPr>
          </w:p>
        </w:tc>
        <w:tc>
          <w:tcPr>
            <w:tcW w:w="763" w:type="dxa"/>
          </w:tcPr>
          <w:p>
            <w:pPr>
              <w:pStyle w:val="TableParagraph"/>
              <w:spacing w:before="1"/>
              <w:ind w:left="204" w:right="93" w:hanging="81"/>
              <w:rPr>
                <w:b/>
                <w:sz w:val="20"/>
              </w:rPr>
            </w:pPr>
            <w:r>
              <w:rPr>
                <w:b/>
                <w:sz w:val="20"/>
              </w:rPr>
              <w:t>0-30% AMI</w:t>
            </w:r>
          </w:p>
        </w:tc>
        <w:tc>
          <w:tcPr>
            <w:tcW w:w="762" w:type="dxa"/>
          </w:tcPr>
          <w:p>
            <w:pPr>
              <w:pStyle w:val="TableParagraph"/>
              <w:spacing w:before="1"/>
              <w:ind w:left="196"/>
              <w:rPr>
                <w:b/>
                <w:sz w:val="20"/>
              </w:rPr>
            </w:pPr>
            <w:r>
              <w:rPr>
                <w:b/>
                <w:sz w:val="20"/>
              </w:rPr>
              <w:t>&gt;30-</w:t>
            </w:r>
          </w:p>
          <w:p>
            <w:pPr>
              <w:pStyle w:val="TableParagraph"/>
              <w:spacing w:line="240" w:lineRule="atLeast"/>
              <w:ind w:left="203" w:right="174"/>
              <w:rPr>
                <w:b/>
                <w:sz w:val="20"/>
              </w:rPr>
            </w:pPr>
            <w:r>
              <w:rPr>
                <w:b/>
                <w:sz w:val="20"/>
              </w:rPr>
              <w:t>50% AMI</w:t>
            </w:r>
          </w:p>
        </w:tc>
        <w:tc>
          <w:tcPr>
            <w:tcW w:w="762" w:type="dxa"/>
          </w:tcPr>
          <w:p>
            <w:pPr>
              <w:pStyle w:val="TableParagraph"/>
              <w:spacing w:before="1"/>
              <w:ind w:left="196"/>
              <w:rPr>
                <w:b/>
                <w:sz w:val="20"/>
              </w:rPr>
            </w:pPr>
            <w:r>
              <w:rPr>
                <w:b/>
                <w:sz w:val="20"/>
              </w:rPr>
              <w:t>&gt;50-</w:t>
            </w:r>
          </w:p>
          <w:p>
            <w:pPr>
              <w:pStyle w:val="TableParagraph"/>
              <w:spacing w:line="240" w:lineRule="atLeast"/>
              <w:ind w:left="203" w:right="174"/>
              <w:rPr>
                <w:b/>
                <w:sz w:val="20"/>
              </w:rPr>
            </w:pPr>
            <w:r>
              <w:rPr>
                <w:b/>
                <w:sz w:val="20"/>
              </w:rPr>
              <w:t>80% AMI</w:t>
            </w:r>
          </w:p>
        </w:tc>
        <w:tc>
          <w:tcPr>
            <w:tcW w:w="762" w:type="dxa"/>
          </w:tcPr>
          <w:p>
            <w:pPr>
              <w:pStyle w:val="TableParagraph"/>
              <w:spacing w:before="1"/>
              <w:ind w:left="196"/>
              <w:rPr>
                <w:b/>
                <w:sz w:val="20"/>
              </w:rPr>
            </w:pPr>
            <w:r>
              <w:rPr>
                <w:b/>
                <w:sz w:val="20"/>
              </w:rPr>
              <w:t>&gt;80-</w:t>
            </w:r>
          </w:p>
          <w:p>
            <w:pPr>
              <w:pStyle w:val="TableParagraph"/>
              <w:spacing w:line="240" w:lineRule="atLeast"/>
              <w:ind w:left="203" w:right="125" w:hanging="51"/>
              <w:rPr>
                <w:b/>
                <w:sz w:val="20"/>
              </w:rPr>
            </w:pPr>
            <w:r>
              <w:rPr>
                <w:b/>
                <w:sz w:val="20"/>
              </w:rPr>
              <w:t>100% AMI</w:t>
            </w:r>
          </w:p>
        </w:tc>
        <w:tc>
          <w:tcPr>
            <w:tcW w:w="860" w:type="dxa"/>
          </w:tcPr>
          <w:p>
            <w:pPr>
              <w:pStyle w:val="TableParagraph"/>
              <w:spacing w:before="1"/>
              <w:ind w:left="215"/>
              <w:rPr>
                <w:b/>
                <w:sz w:val="20"/>
              </w:rPr>
            </w:pPr>
            <w:r>
              <w:rPr>
                <w:b/>
                <w:sz w:val="20"/>
              </w:rPr>
              <w:t>Total</w:t>
            </w:r>
          </w:p>
        </w:tc>
        <w:tc>
          <w:tcPr>
            <w:tcW w:w="630" w:type="dxa"/>
          </w:tcPr>
          <w:p>
            <w:pPr>
              <w:pStyle w:val="TableParagraph"/>
              <w:spacing w:before="1"/>
              <w:ind w:left="135" w:right="125"/>
              <w:jc w:val="center"/>
              <w:rPr>
                <w:b/>
                <w:sz w:val="20"/>
              </w:rPr>
            </w:pPr>
            <w:r>
              <w:rPr>
                <w:b/>
                <w:sz w:val="20"/>
              </w:rPr>
              <w:t>0-</w:t>
            </w:r>
          </w:p>
          <w:p>
            <w:pPr>
              <w:pStyle w:val="TableParagraph"/>
              <w:spacing w:line="240" w:lineRule="atLeast"/>
              <w:ind w:left="137" w:right="125"/>
              <w:jc w:val="center"/>
              <w:rPr>
                <w:b/>
                <w:sz w:val="20"/>
              </w:rPr>
            </w:pPr>
            <w:r>
              <w:rPr>
                <w:b/>
                <w:sz w:val="20"/>
              </w:rPr>
              <w:t>30% AMI</w:t>
            </w:r>
          </w:p>
        </w:tc>
        <w:tc>
          <w:tcPr>
            <w:tcW w:w="642" w:type="dxa"/>
          </w:tcPr>
          <w:p>
            <w:pPr>
              <w:pStyle w:val="TableParagraph"/>
              <w:spacing w:before="1"/>
              <w:ind w:left="136"/>
              <w:rPr>
                <w:b/>
                <w:sz w:val="20"/>
              </w:rPr>
            </w:pPr>
            <w:r>
              <w:rPr>
                <w:b/>
                <w:sz w:val="20"/>
              </w:rPr>
              <w:t>&gt;30-</w:t>
            </w:r>
          </w:p>
          <w:p>
            <w:pPr>
              <w:pStyle w:val="TableParagraph"/>
              <w:spacing w:line="240" w:lineRule="atLeast"/>
              <w:ind w:left="143" w:right="114"/>
              <w:rPr>
                <w:b/>
                <w:sz w:val="20"/>
              </w:rPr>
            </w:pPr>
            <w:r>
              <w:rPr>
                <w:b/>
                <w:sz w:val="20"/>
              </w:rPr>
              <w:t>50% AMI</w:t>
            </w:r>
          </w:p>
        </w:tc>
        <w:tc>
          <w:tcPr>
            <w:tcW w:w="762" w:type="dxa"/>
          </w:tcPr>
          <w:p>
            <w:pPr>
              <w:pStyle w:val="TableParagraph"/>
              <w:spacing w:before="1"/>
              <w:ind w:left="196"/>
              <w:rPr>
                <w:b/>
                <w:sz w:val="20"/>
              </w:rPr>
            </w:pPr>
            <w:r>
              <w:rPr>
                <w:b/>
                <w:sz w:val="20"/>
              </w:rPr>
              <w:t>&gt;50-</w:t>
            </w:r>
          </w:p>
          <w:p>
            <w:pPr>
              <w:pStyle w:val="TableParagraph"/>
              <w:spacing w:line="240" w:lineRule="atLeast"/>
              <w:ind w:left="203" w:right="174"/>
              <w:rPr>
                <w:b/>
                <w:sz w:val="20"/>
              </w:rPr>
            </w:pPr>
            <w:r>
              <w:rPr>
                <w:b/>
                <w:sz w:val="20"/>
              </w:rPr>
              <w:t>80% AMI</w:t>
            </w:r>
          </w:p>
        </w:tc>
        <w:tc>
          <w:tcPr>
            <w:tcW w:w="762" w:type="dxa"/>
          </w:tcPr>
          <w:p>
            <w:pPr>
              <w:pStyle w:val="TableParagraph"/>
              <w:spacing w:before="1"/>
              <w:ind w:left="196"/>
              <w:rPr>
                <w:b/>
                <w:sz w:val="20"/>
              </w:rPr>
            </w:pPr>
            <w:r>
              <w:rPr>
                <w:b/>
                <w:sz w:val="20"/>
              </w:rPr>
              <w:t>&gt;80-</w:t>
            </w:r>
          </w:p>
          <w:p>
            <w:pPr>
              <w:pStyle w:val="TableParagraph"/>
              <w:spacing w:line="240" w:lineRule="atLeast"/>
              <w:ind w:left="203" w:right="125" w:hanging="51"/>
              <w:rPr>
                <w:b/>
                <w:sz w:val="20"/>
              </w:rPr>
            </w:pPr>
            <w:r>
              <w:rPr>
                <w:b/>
                <w:sz w:val="20"/>
              </w:rPr>
              <w:t>100% AMI</w:t>
            </w:r>
          </w:p>
        </w:tc>
        <w:tc>
          <w:tcPr>
            <w:tcW w:w="762" w:type="dxa"/>
          </w:tcPr>
          <w:p>
            <w:pPr>
              <w:pStyle w:val="TableParagraph"/>
              <w:spacing w:before="1"/>
              <w:ind w:right="154"/>
              <w:jc w:val="right"/>
              <w:rPr>
                <w:b/>
                <w:sz w:val="20"/>
              </w:rPr>
            </w:pPr>
            <w:r>
              <w:rPr>
                <w:b/>
                <w:sz w:val="20"/>
              </w:rPr>
              <w:t>Total</w:t>
            </w:r>
          </w:p>
        </w:tc>
      </w:tr>
      <w:tr>
        <w:trPr>
          <w:trHeight w:val="257" w:hRule="atLeast"/>
        </w:trPr>
        <w:tc>
          <w:tcPr>
            <w:tcW w:w="9350" w:type="dxa"/>
            <w:gridSpan w:val="11"/>
          </w:tcPr>
          <w:p>
            <w:pPr>
              <w:pStyle w:val="TableParagraph"/>
              <w:spacing w:line="238" w:lineRule="exact"/>
              <w:ind w:left="112"/>
              <w:rPr>
                <w:sz w:val="22"/>
              </w:rPr>
            </w:pPr>
            <w:r>
              <w:rPr>
                <w:sz w:val="22"/>
              </w:rPr>
              <w:t>NUMBER OF HOUSEHOLDS</w:t>
            </w:r>
          </w:p>
        </w:tc>
      </w:tr>
      <w:tr>
        <w:trPr>
          <w:trHeight w:val="1121" w:hRule="atLeast"/>
        </w:trPr>
        <w:tc>
          <w:tcPr>
            <w:tcW w:w="1883" w:type="dxa"/>
          </w:tcPr>
          <w:p>
            <w:pPr>
              <w:pStyle w:val="TableParagraph"/>
              <w:spacing w:line="276" w:lineRule="auto" w:before="1"/>
              <w:ind w:left="112" w:right="193"/>
              <w:rPr>
                <w:sz w:val="22"/>
              </w:rPr>
            </w:pPr>
            <w:r>
              <w:rPr>
                <w:sz w:val="22"/>
              </w:rPr>
              <w:t>Having 1 or more of four housing problems</w:t>
            </w:r>
          </w:p>
        </w:tc>
        <w:tc>
          <w:tcPr>
            <w:tcW w:w="763"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5,675</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1,420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180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95</w:t>
            </w:r>
          </w:p>
        </w:tc>
        <w:tc>
          <w:tcPr>
            <w:tcW w:w="860"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7,370</w:t>
            </w:r>
          </w:p>
        </w:tc>
        <w:tc>
          <w:tcPr>
            <w:tcW w:w="630"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460</w:t>
            </w:r>
          </w:p>
        </w:tc>
        <w:tc>
          <w:tcPr>
            <w:tcW w:w="64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120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105</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695</w:t>
            </w:r>
          </w:p>
        </w:tc>
      </w:tr>
      <w:tr>
        <w:trPr>
          <w:trHeight w:val="1121" w:hRule="atLeast"/>
        </w:trPr>
        <w:tc>
          <w:tcPr>
            <w:tcW w:w="1883" w:type="dxa"/>
          </w:tcPr>
          <w:p>
            <w:pPr>
              <w:pStyle w:val="TableParagraph"/>
              <w:spacing w:line="276" w:lineRule="auto" w:before="1"/>
              <w:ind w:left="112" w:right="385"/>
              <w:rPr>
                <w:sz w:val="22"/>
              </w:rPr>
            </w:pPr>
            <w:r>
              <w:rPr>
                <w:sz w:val="22"/>
              </w:rPr>
              <w:t>Having none of four housing problems</w:t>
            </w:r>
          </w:p>
        </w:tc>
        <w:tc>
          <w:tcPr>
            <w:tcW w:w="763"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2,360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2,505</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3,700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1,745</w:t>
            </w:r>
          </w:p>
        </w:tc>
        <w:tc>
          <w:tcPr>
            <w:tcW w:w="860"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10,310</w:t>
            </w:r>
          </w:p>
        </w:tc>
        <w:tc>
          <w:tcPr>
            <w:tcW w:w="630"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269</w:t>
            </w:r>
          </w:p>
        </w:tc>
        <w:tc>
          <w:tcPr>
            <w:tcW w:w="64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765</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1,800</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1,119</w:t>
            </w:r>
          </w:p>
        </w:tc>
        <w:tc>
          <w:tcPr>
            <w:tcW w:w="762"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3,953</w:t>
            </w:r>
          </w:p>
        </w:tc>
      </w:tr>
      <w:tr>
        <w:trPr>
          <w:trHeight w:val="1739" w:hRule="atLeast"/>
        </w:trPr>
        <w:tc>
          <w:tcPr>
            <w:tcW w:w="1883" w:type="dxa"/>
          </w:tcPr>
          <w:p>
            <w:pPr>
              <w:pStyle w:val="TableParagraph"/>
              <w:spacing w:line="276" w:lineRule="auto" w:before="1"/>
              <w:ind w:left="112" w:right="204"/>
              <w:rPr>
                <w:sz w:val="22"/>
              </w:rPr>
            </w:pPr>
            <w:r>
              <w:rPr>
                <w:sz w:val="22"/>
              </w:rPr>
              <w:t>Household has negative income, but none of the other housing problems</w:t>
            </w:r>
          </w:p>
        </w:tc>
        <w:tc>
          <w:tcPr>
            <w:tcW w:w="76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86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63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64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c>
          <w:tcPr>
            <w:tcW w:w="76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right="100"/>
              <w:jc w:val="right"/>
              <w:rPr>
                <w:sz w:val="22"/>
              </w:rPr>
            </w:pPr>
            <w:r>
              <w:rPr>
                <w:sz w:val="22"/>
              </w:rPr>
              <w:t>0</w:t>
            </w:r>
          </w:p>
        </w:tc>
      </w:tr>
    </w:tbl>
    <w:p>
      <w:pPr>
        <w:spacing w:after="0"/>
        <w:jc w:val="right"/>
        <w:rPr>
          <w:sz w:val="22"/>
        </w:rPr>
        <w:sectPr>
          <w:pgSz w:w="12240" w:h="15840"/>
          <w:pgMar w:header="769" w:footer="1321" w:top="1340" w:bottom="1540" w:left="1220" w:right="880"/>
        </w:sectPr>
      </w:pPr>
    </w:p>
    <w:p>
      <w:pPr>
        <w:pStyle w:val="BodyText"/>
        <w:spacing w:before="1"/>
        <w:rPr>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335" w:right="0" w:firstLine="0"/>
        <w:jc w:val="left"/>
        <w:rPr>
          <w:rFonts w:ascii="Arial" w:hAnsi="Arial"/>
          <w:b/>
          <w:sz w:val="20"/>
        </w:rPr>
      </w:pPr>
      <w:r>
        <w:rPr/>
        <w:br w:type="column"/>
      </w:r>
      <w:r>
        <w:rPr>
          <w:rFonts w:ascii="Arial" w:hAnsi="Arial"/>
          <w:b/>
          <w:sz w:val="20"/>
        </w:rPr>
        <w:t>Table 8 – Housing Problems 2</w:t>
      </w:r>
    </w:p>
    <w:p>
      <w:pPr>
        <w:spacing w:after="0"/>
        <w:jc w:val="left"/>
        <w:rPr>
          <w:rFonts w:ascii="Arial" w:hAnsi="Arial"/>
          <w:sz w:val="20"/>
        </w:rPr>
        <w:sectPr>
          <w:type w:val="continuous"/>
          <w:pgSz w:w="12240" w:h="15840"/>
          <w:pgMar w:top="1340" w:bottom="1520" w:left="1220" w:right="880"/>
          <w:cols w:num="3" w:equalWidth="0">
            <w:col w:w="872" w:space="94"/>
            <w:col w:w="1461" w:space="716"/>
            <w:col w:w="6997"/>
          </w:cols>
        </w:sectPr>
      </w:pPr>
    </w:p>
    <w:p>
      <w:pPr>
        <w:pStyle w:val="BodyText"/>
        <w:rPr>
          <w:rFonts w:ascii="Arial"/>
          <w:b/>
          <w:sz w:val="20"/>
        </w:rPr>
      </w:pPr>
    </w:p>
    <w:p>
      <w:pPr>
        <w:pStyle w:val="BodyText"/>
        <w:rPr>
          <w:rFonts w:ascii="Arial"/>
          <w:b/>
          <w:sz w:val="20"/>
        </w:rPr>
      </w:pPr>
    </w:p>
    <w:p>
      <w:pPr>
        <w:pStyle w:val="Heading5"/>
        <w:numPr>
          <w:ilvl w:val="0"/>
          <w:numId w:val="5"/>
        </w:numPr>
        <w:tabs>
          <w:tab w:pos="457" w:val="left" w:leader="none"/>
        </w:tabs>
        <w:spacing w:line="240" w:lineRule="auto" w:before="0" w:after="0"/>
        <w:ind w:left="456" w:right="0" w:hanging="237"/>
        <w:jc w:val="left"/>
      </w:pPr>
      <w:r>
        <w:rPr/>
        <w:t>Cost Burden &gt; 30%</w:t>
      </w:r>
    </w:p>
    <w:p>
      <w:pPr>
        <w:pStyle w:val="BodyText"/>
        <w:spacing w:before="7"/>
        <w:rPr>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76"/>
        <w:gridCol w:w="954"/>
        <w:gridCol w:w="954"/>
        <w:gridCol w:w="954"/>
        <w:gridCol w:w="1174"/>
        <w:gridCol w:w="869"/>
        <w:gridCol w:w="878"/>
        <w:gridCol w:w="878"/>
        <w:gridCol w:w="1113"/>
      </w:tblGrid>
      <w:tr>
        <w:trPr>
          <w:trHeight w:val="239" w:hRule="atLeast"/>
        </w:trPr>
        <w:tc>
          <w:tcPr>
            <w:tcW w:w="1576" w:type="dxa"/>
            <w:vMerge w:val="restart"/>
          </w:tcPr>
          <w:p>
            <w:pPr>
              <w:pStyle w:val="TableParagraph"/>
              <w:rPr>
                <w:rFonts w:ascii="Times New Roman"/>
                <w:sz w:val="20"/>
              </w:rPr>
            </w:pPr>
          </w:p>
        </w:tc>
        <w:tc>
          <w:tcPr>
            <w:tcW w:w="4036" w:type="dxa"/>
            <w:gridSpan w:val="4"/>
          </w:tcPr>
          <w:p>
            <w:pPr>
              <w:pStyle w:val="TableParagraph"/>
              <w:spacing w:line="218" w:lineRule="exact" w:before="1"/>
              <w:ind w:left="1714" w:right="1705"/>
              <w:jc w:val="center"/>
              <w:rPr>
                <w:b/>
                <w:sz w:val="20"/>
              </w:rPr>
            </w:pPr>
            <w:r>
              <w:rPr>
                <w:b/>
                <w:sz w:val="20"/>
              </w:rPr>
              <w:t>Renter</w:t>
            </w:r>
          </w:p>
        </w:tc>
        <w:tc>
          <w:tcPr>
            <w:tcW w:w="3738" w:type="dxa"/>
            <w:gridSpan w:val="4"/>
          </w:tcPr>
          <w:p>
            <w:pPr>
              <w:pStyle w:val="TableParagraph"/>
              <w:spacing w:line="218" w:lineRule="exact" w:before="1"/>
              <w:ind w:left="1563" w:right="1555"/>
              <w:jc w:val="center"/>
              <w:rPr>
                <w:b/>
                <w:sz w:val="20"/>
              </w:rPr>
            </w:pPr>
            <w:r>
              <w:rPr>
                <w:b/>
                <w:sz w:val="20"/>
              </w:rPr>
              <w:t>Owner</w:t>
            </w:r>
          </w:p>
        </w:tc>
      </w:tr>
      <w:tr>
        <w:trPr>
          <w:trHeight w:val="727" w:hRule="atLeast"/>
        </w:trPr>
        <w:tc>
          <w:tcPr>
            <w:tcW w:w="1576" w:type="dxa"/>
            <w:vMerge/>
            <w:tcBorders>
              <w:top w:val="nil"/>
            </w:tcBorders>
          </w:tcPr>
          <w:p>
            <w:pPr>
              <w:rPr>
                <w:sz w:val="2"/>
                <w:szCs w:val="2"/>
              </w:rPr>
            </w:pPr>
          </w:p>
        </w:tc>
        <w:tc>
          <w:tcPr>
            <w:tcW w:w="954" w:type="dxa"/>
          </w:tcPr>
          <w:p>
            <w:pPr>
              <w:pStyle w:val="TableParagraph"/>
              <w:spacing w:before="1"/>
              <w:ind w:left="299" w:right="189" w:hanging="81"/>
              <w:rPr>
                <w:b/>
                <w:sz w:val="20"/>
              </w:rPr>
            </w:pPr>
            <w:r>
              <w:rPr>
                <w:b/>
                <w:sz w:val="20"/>
              </w:rPr>
              <w:t>0-30% AMI</w:t>
            </w:r>
          </w:p>
        </w:tc>
        <w:tc>
          <w:tcPr>
            <w:tcW w:w="954" w:type="dxa"/>
          </w:tcPr>
          <w:p>
            <w:pPr>
              <w:pStyle w:val="TableParagraph"/>
              <w:spacing w:before="1"/>
              <w:ind w:left="299" w:right="89" w:hanging="182"/>
              <w:rPr>
                <w:b/>
                <w:sz w:val="20"/>
              </w:rPr>
            </w:pPr>
            <w:r>
              <w:rPr>
                <w:b/>
                <w:sz w:val="20"/>
              </w:rPr>
              <w:t>&gt;30-50% AMI</w:t>
            </w:r>
          </w:p>
        </w:tc>
        <w:tc>
          <w:tcPr>
            <w:tcW w:w="954" w:type="dxa"/>
          </w:tcPr>
          <w:p>
            <w:pPr>
              <w:pStyle w:val="TableParagraph"/>
              <w:spacing w:before="1"/>
              <w:ind w:left="299" w:right="89" w:hanging="182"/>
              <w:rPr>
                <w:b/>
                <w:sz w:val="20"/>
              </w:rPr>
            </w:pPr>
            <w:r>
              <w:rPr>
                <w:b/>
                <w:sz w:val="20"/>
              </w:rPr>
              <w:t>&gt;50-80% AMI</w:t>
            </w:r>
          </w:p>
        </w:tc>
        <w:tc>
          <w:tcPr>
            <w:tcW w:w="1174" w:type="dxa"/>
          </w:tcPr>
          <w:p>
            <w:pPr>
              <w:pStyle w:val="TableParagraph"/>
              <w:spacing w:before="1"/>
              <w:ind w:left="372"/>
              <w:rPr>
                <w:b/>
                <w:sz w:val="20"/>
              </w:rPr>
            </w:pPr>
            <w:r>
              <w:rPr>
                <w:b/>
                <w:sz w:val="20"/>
              </w:rPr>
              <w:t>Total</w:t>
            </w:r>
          </w:p>
        </w:tc>
        <w:tc>
          <w:tcPr>
            <w:tcW w:w="869" w:type="dxa"/>
          </w:tcPr>
          <w:p>
            <w:pPr>
              <w:pStyle w:val="TableParagraph"/>
              <w:spacing w:before="1"/>
              <w:ind w:left="256" w:right="147" w:hanging="81"/>
              <w:rPr>
                <w:b/>
                <w:sz w:val="20"/>
              </w:rPr>
            </w:pPr>
            <w:r>
              <w:rPr>
                <w:b/>
                <w:sz w:val="20"/>
              </w:rPr>
              <w:t>0-30% AMI</w:t>
            </w:r>
          </w:p>
        </w:tc>
        <w:tc>
          <w:tcPr>
            <w:tcW w:w="878" w:type="dxa"/>
          </w:tcPr>
          <w:p>
            <w:pPr>
              <w:pStyle w:val="TableParagraph"/>
              <w:spacing w:before="1"/>
              <w:ind w:left="253"/>
              <w:rPr>
                <w:b/>
                <w:sz w:val="20"/>
              </w:rPr>
            </w:pPr>
            <w:r>
              <w:rPr>
                <w:b/>
                <w:sz w:val="20"/>
              </w:rPr>
              <w:t>&gt;30-</w:t>
            </w:r>
          </w:p>
          <w:p>
            <w:pPr>
              <w:pStyle w:val="TableParagraph"/>
              <w:spacing w:line="240" w:lineRule="atLeast"/>
              <w:ind w:left="261" w:right="232"/>
              <w:rPr>
                <w:b/>
                <w:sz w:val="20"/>
              </w:rPr>
            </w:pPr>
            <w:r>
              <w:rPr>
                <w:b/>
                <w:sz w:val="20"/>
              </w:rPr>
              <w:t>50% AMI</w:t>
            </w:r>
          </w:p>
        </w:tc>
        <w:tc>
          <w:tcPr>
            <w:tcW w:w="878" w:type="dxa"/>
          </w:tcPr>
          <w:p>
            <w:pPr>
              <w:pStyle w:val="TableParagraph"/>
              <w:spacing w:before="1"/>
              <w:ind w:left="253"/>
              <w:rPr>
                <w:b/>
                <w:sz w:val="20"/>
              </w:rPr>
            </w:pPr>
            <w:r>
              <w:rPr>
                <w:b/>
                <w:sz w:val="20"/>
              </w:rPr>
              <w:t>&gt;50-</w:t>
            </w:r>
          </w:p>
          <w:p>
            <w:pPr>
              <w:pStyle w:val="TableParagraph"/>
              <w:spacing w:line="240" w:lineRule="atLeast"/>
              <w:ind w:left="260" w:right="233"/>
              <w:rPr>
                <w:b/>
                <w:sz w:val="20"/>
              </w:rPr>
            </w:pPr>
            <w:r>
              <w:rPr>
                <w:b/>
                <w:sz w:val="20"/>
              </w:rPr>
              <w:t>80% AMI</w:t>
            </w:r>
          </w:p>
        </w:tc>
        <w:tc>
          <w:tcPr>
            <w:tcW w:w="1113" w:type="dxa"/>
          </w:tcPr>
          <w:p>
            <w:pPr>
              <w:pStyle w:val="TableParagraph"/>
              <w:spacing w:before="1"/>
              <w:ind w:left="341"/>
              <w:rPr>
                <w:b/>
                <w:sz w:val="20"/>
              </w:rPr>
            </w:pPr>
            <w:r>
              <w:rPr>
                <w:b/>
                <w:sz w:val="20"/>
              </w:rPr>
              <w:t>Total</w:t>
            </w:r>
          </w:p>
        </w:tc>
      </w:tr>
      <w:tr>
        <w:trPr>
          <w:trHeight w:val="257" w:hRule="atLeast"/>
        </w:trPr>
        <w:tc>
          <w:tcPr>
            <w:tcW w:w="9350" w:type="dxa"/>
            <w:gridSpan w:val="9"/>
          </w:tcPr>
          <w:p>
            <w:pPr>
              <w:pStyle w:val="TableParagraph"/>
              <w:spacing w:line="238" w:lineRule="exact"/>
              <w:ind w:left="112"/>
              <w:rPr>
                <w:sz w:val="22"/>
              </w:rPr>
            </w:pPr>
            <w:r>
              <w:rPr>
                <w:sz w:val="22"/>
              </w:rPr>
              <w:t>NUMBER OF HOUSEHOLDS</w:t>
            </w:r>
          </w:p>
        </w:tc>
      </w:tr>
      <w:tr>
        <w:trPr>
          <w:trHeight w:val="503" w:hRule="atLeast"/>
        </w:trPr>
        <w:tc>
          <w:tcPr>
            <w:tcW w:w="1576" w:type="dxa"/>
          </w:tcPr>
          <w:p>
            <w:pPr>
              <w:pStyle w:val="TableParagraph"/>
              <w:spacing w:before="1"/>
              <w:ind w:left="112"/>
              <w:rPr>
                <w:sz w:val="22"/>
              </w:rPr>
            </w:pPr>
            <w:r>
              <w:rPr>
                <w:sz w:val="22"/>
              </w:rPr>
              <w:t>Small Related</w:t>
            </w:r>
          </w:p>
        </w:tc>
        <w:tc>
          <w:tcPr>
            <w:tcW w:w="954" w:type="dxa"/>
          </w:tcPr>
          <w:p>
            <w:pPr>
              <w:pStyle w:val="TableParagraph"/>
              <w:spacing w:before="1"/>
              <w:ind w:right="100"/>
              <w:jc w:val="right"/>
              <w:rPr>
                <w:sz w:val="22"/>
              </w:rPr>
            </w:pPr>
            <w:r>
              <w:rPr>
                <w:sz w:val="22"/>
              </w:rPr>
              <w:t>995</w:t>
            </w:r>
          </w:p>
        </w:tc>
        <w:tc>
          <w:tcPr>
            <w:tcW w:w="954" w:type="dxa"/>
          </w:tcPr>
          <w:p>
            <w:pPr>
              <w:pStyle w:val="TableParagraph"/>
              <w:spacing w:before="1"/>
              <w:ind w:right="100"/>
              <w:jc w:val="right"/>
              <w:rPr>
                <w:sz w:val="22"/>
              </w:rPr>
            </w:pPr>
            <w:r>
              <w:rPr>
                <w:sz w:val="22"/>
              </w:rPr>
              <w:t>485</w:t>
            </w:r>
          </w:p>
        </w:tc>
        <w:tc>
          <w:tcPr>
            <w:tcW w:w="954" w:type="dxa"/>
          </w:tcPr>
          <w:p>
            <w:pPr>
              <w:pStyle w:val="TableParagraph"/>
              <w:spacing w:before="1"/>
              <w:ind w:right="101"/>
              <w:jc w:val="right"/>
              <w:rPr>
                <w:sz w:val="22"/>
              </w:rPr>
            </w:pPr>
            <w:r>
              <w:rPr>
                <w:sz w:val="22"/>
              </w:rPr>
              <w:t>290</w:t>
            </w:r>
          </w:p>
        </w:tc>
        <w:tc>
          <w:tcPr>
            <w:tcW w:w="1174" w:type="dxa"/>
          </w:tcPr>
          <w:p>
            <w:pPr>
              <w:pStyle w:val="TableParagraph"/>
              <w:spacing w:before="1"/>
              <w:ind w:right="101"/>
              <w:jc w:val="right"/>
              <w:rPr>
                <w:sz w:val="22"/>
              </w:rPr>
            </w:pPr>
            <w:r>
              <w:rPr>
                <w:sz w:val="22"/>
              </w:rPr>
              <w:t>1,770</w:t>
            </w:r>
          </w:p>
        </w:tc>
        <w:tc>
          <w:tcPr>
            <w:tcW w:w="869" w:type="dxa"/>
          </w:tcPr>
          <w:p>
            <w:pPr>
              <w:pStyle w:val="TableParagraph"/>
              <w:spacing w:before="1"/>
              <w:ind w:right="101"/>
              <w:jc w:val="right"/>
              <w:rPr>
                <w:sz w:val="22"/>
              </w:rPr>
            </w:pPr>
            <w:r>
              <w:rPr>
                <w:sz w:val="22"/>
              </w:rPr>
              <w:t>135</w:t>
            </w:r>
          </w:p>
        </w:tc>
        <w:tc>
          <w:tcPr>
            <w:tcW w:w="878" w:type="dxa"/>
          </w:tcPr>
          <w:p>
            <w:pPr>
              <w:pStyle w:val="TableParagraph"/>
              <w:spacing w:before="1"/>
              <w:ind w:right="101"/>
              <w:jc w:val="right"/>
              <w:rPr>
                <w:sz w:val="22"/>
              </w:rPr>
            </w:pPr>
            <w:r>
              <w:rPr>
                <w:sz w:val="22"/>
              </w:rPr>
              <w:t>84</w:t>
            </w:r>
          </w:p>
        </w:tc>
        <w:tc>
          <w:tcPr>
            <w:tcW w:w="878" w:type="dxa"/>
          </w:tcPr>
          <w:p>
            <w:pPr>
              <w:pStyle w:val="TableParagraph"/>
              <w:spacing w:before="1"/>
              <w:ind w:right="101"/>
              <w:jc w:val="right"/>
              <w:rPr>
                <w:sz w:val="22"/>
              </w:rPr>
            </w:pPr>
            <w:r>
              <w:rPr>
                <w:sz w:val="22"/>
              </w:rPr>
              <w:t>110</w:t>
            </w:r>
          </w:p>
        </w:tc>
        <w:tc>
          <w:tcPr>
            <w:tcW w:w="1113" w:type="dxa"/>
          </w:tcPr>
          <w:p>
            <w:pPr>
              <w:pStyle w:val="TableParagraph"/>
              <w:spacing w:before="1"/>
              <w:ind w:right="101"/>
              <w:jc w:val="right"/>
              <w:rPr>
                <w:sz w:val="22"/>
              </w:rPr>
            </w:pPr>
            <w:r>
              <w:rPr>
                <w:sz w:val="22"/>
              </w:rPr>
              <w:t>329</w:t>
            </w:r>
          </w:p>
        </w:tc>
      </w:tr>
      <w:tr>
        <w:trPr>
          <w:trHeight w:val="503" w:hRule="atLeast"/>
        </w:trPr>
        <w:tc>
          <w:tcPr>
            <w:tcW w:w="1576" w:type="dxa"/>
          </w:tcPr>
          <w:p>
            <w:pPr>
              <w:pStyle w:val="TableParagraph"/>
              <w:spacing w:before="1"/>
              <w:ind w:left="112"/>
              <w:rPr>
                <w:sz w:val="22"/>
              </w:rPr>
            </w:pPr>
            <w:r>
              <w:rPr>
                <w:sz w:val="22"/>
              </w:rPr>
              <w:t>Large Related</w:t>
            </w:r>
          </w:p>
        </w:tc>
        <w:tc>
          <w:tcPr>
            <w:tcW w:w="954" w:type="dxa"/>
          </w:tcPr>
          <w:p>
            <w:pPr>
              <w:pStyle w:val="TableParagraph"/>
              <w:spacing w:before="1"/>
              <w:ind w:right="100"/>
              <w:jc w:val="right"/>
              <w:rPr>
                <w:sz w:val="22"/>
              </w:rPr>
            </w:pPr>
            <w:r>
              <w:rPr>
                <w:sz w:val="22"/>
              </w:rPr>
              <w:t>120</w:t>
            </w:r>
          </w:p>
        </w:tc>
        <w:tc>
          <w:tcPr>
            <w:tcW w:w="954" w:type="dxa"/>
          </w:tcPr>
          <w:p>
            <w:pPr>
              <w:pStyle w:val="TableParagraph"/>
              <w:spacing w:before="1"/>
              <w:ind w:right="100"/>
              <w:jc w:val="right"/>
              <w:rPr>
                <w:sz w:val="22"/>
              </w:rPr>
            </w:pPr>
            <w:r>
              <w:rPr>
                <w:sz w:val="22"/>
              </w:rPr>
              <w:t>18</w:t>
            </w:r>
          </w:p>
        </w:tc>
        <w:tc>
          <w:tcPr>
            <w:tcW w:w="954" w:type="dxa"/>
          </w:tcPr>
          <w:p>
            <w:pPr>
              <w:pStyle w:val="TableParagraph"/>
              <w:spacing w:before="1"/>
              <w:ind w:right="101"/>
              <w:jc w:val="right"/>
              <w:rPr>
                <w:sz w:val="22"/>
              </w:rPr>
            </w:pPr>
            <w:r>
              <w:rPr>
                <w:sz w:val="22"/>
              </w:rPr>
              <w:t>30</w:t>
            </w:r>
          </w:p>
        </w:tc>
        <w:tc>
          <w:tcPr>
            <w:tcW w:w="1174" w:type="dxa"/>
          </w:tcPr>
          <w:p>
            <w:pPr>
              <w:pStyle w:val="TableParagraph"/>
              <w:spacing w:before="1"/>
              <w:ind w:right="101"/>
              <w:jc w:val="right"/>
              <w:rPr>
                <w:sz w:val="22"/>
              </w:rPr>
            </w:pPr>
            <w:r>
              <w:rPr>
                <w:sz w:val="22"/>
              </w:rPr>
              <w:t>168</w:t>
            </w:r>
          </w:p>
        </w:tc>
        <w:tc>
          <w:tcPr>
            <w:tcW w:w="869" w:type="dxa"/>
          </w:tcPr>
          <w:p>
            <w:pPr>
              <w:pStyle w:val="TableParagraph"/>
              <w:spacing w:before="1"/>
              <w:ind w:right="101"/>
              <w:jc w:val="right"/>
              <w:rPr>
                <w:sz w:val="22"/>
              </w:rPr>
            </w:pPr>
            <w:r>
              <w:rPr>
                <w:sz w:val="22"/>
              </w:rPr>
              <w:t>20</w:t>
            </w:r>
          </w:p>
        </w:tc>
        <w:tc>
          <w:tcPr>
            <w:tcW w:w="878" w:type="dxa"/>
          </w:tcPr>
          <w:p>
            <w:pPr>
              <w:pStyle w:val="TableParagraph"/>
              <w:spacing w:before="1"/>
              <w:ind w:right="101"/>
              <w:jc w:val="right"/>
              <w:rPr>
                <w:sz w:val="22"/>
              </w:rPr>
            </w:pPr>
            <w:r>
              <w:rPr>
                <w:sz w:val="22"/>
              </w:rPr>
              <w:t>0</w:t>
            </w:r>
          </w:p>
        </w:tc>
        <w:tc>
          <w:tcPr>
            <w:tcW w:w="878" w:type="dxa"/>
          </w:tcPr>
          <w:p>
            <w:pPr>
              <w:pStyle w:val="TableParagraph"/>
              <w:spacing w:before="1"/>
              <w:ind w:right="101"/>
              <w:jc w:val="right"/>
              <w:rPr>
                <w:sz w:val="22"/>
              </w:rPr>
            </w:pPr>
            <w:r>
              <w:rPr>
                <w:sz w:val="22"/>
              </w:rPr>
              <w:t>49</w:t>
            </w:r>
          </w:p>
        </w:tc>
        <w:tc>
          <w:tcPr>
            <w:tcW w:w="1113" w:type="dxa"/>
          </w:tcPr>
          <w:p>
            <w:pPr>
              <w:pStyle w:val="TableParagraph"/>
              <w:spacing w:before="1"/>
              <w:ind w:right="101"/>
              <w:jc w:val="right"/>
              <w:rPr>
                <w:sz w:val="22"/>
              </w:rPr>
            </w:pPr>
            <w:r>
              <w:rPr>
                <w:sz w:val="22"/>
              </w:rPr>
              <w:t>69</w:t>
            </w:r>
          </w:p>
        </w:tc>
      </w:tr>
      <w:tr>
        <w:trPr>
          <w:trHeight w:val="503" w:hRule="atLeast"/>
        </w:trPr>
        <w:tc>
          <w:tcPr>
            <w:tcW w:w="1576" w:type="dxa"/>
          </w:tcPr>
          <w:p>
            <w:pPr>
              <w:pStyle w:val="TableParagraph"/>
              <w:spacing w:before="1"/>
              <w:ind w:left="112"/>
              <w:rPr>
                <w:sz w:val="22"/>
              </w:rPr>
            </w:pPr>
            <w:r>
              <w:rPr>
                <w:sz w:val="22"/>
              </w:rPr>
              <w:t>Elderly</w:t>
            </w:r>
          </w:p>
        </w:tc>
        <w:tc>
          <w:tcPr>
            <w:tcW w:w="954" w:type="dxa"/>
          </w:tcPr>
          <w:p>
            <w:pPr>
              <w:pStyle w:val="TableParagraph"/>
              <w:spacing w:before="1"/>
              <w:ind w:right="100"/>
              <w:jc w:val="right"/>
              <w:rPr>
                <w:sz w:val="22"/>
              </w:rPr>
            </w:pPr>
            <w:r>
              <w:rPr>
                <w:sz w:val="22"/>
              </w:rPr>
              <w:t>235</w:t>
            </w:r>
          </w:p>
        </w:tc>
        <w:tc>
          <w:tcPr>
            <w:tcW w:w="954" w:type="dxa"/>
          </w:tcPr>
          <w:p>
            <w:pPr>
              <w:pStyle w:val="TableParagraph"/>
              <w:spacing w:before="1"/>
              <w:ind w:right="100"/>
              <w:jc w:val="right"/>
              <w:rPr>
                <w:sz w:val="22"/>
              </w:rPr>
            </w:pPr>
            <w:r>
              <w:rPr>
                <w:sz w:val="22"/>
              </w:rPr>
              <w:t>310</w:t>
            </w:r>
          </w:p>
        </w:tc>
        <w:tc>
          <w:tcPr>
            <w:tcW w:w="954" w:type="dxa"/>
          </w:tcPr>
          <w:p>
            <w:pPr>
              <w:pStyle w:val="TableParagraph"/>
              <w:spacing w:before="1"/>
              <w:ind w:right="101"/>
              <w:jc w:val="right"/>
              <w:rPr>
                <w:sz w:val="22"/>
              </w:rPr>
            </w:pPr>
            <w:r>
              <w:rPr>
                <w:sz w:val="22"/>
              </w:rPr>
              <w:t>65</w:t>
            </w:r>
          </w:p>
        </w:tc>
        <w:tc>
          <w:tcPr>
            <w:tcW w:w="1174" w:type="dxa"/>
          </w:tcPr>
          <w:p>
            <w:pPr>
              <w:pStyle w:val="TableParagraph"/>
              <w:spacing w:before="1"/>
              <w:ind w:right="101"/>
              <w:jc w:val="right"/>
              <w:rPr>
                <w:sz w:val="22"/>
              </w:rPr>
            </w:pPr>
            <w:r>
              <w:rPr>
                <w:sz w:val="22"/>
              </w:rPr>
              <w:t>610</w:t>
            </w:r>
          </w:p>
        </w:tc>
        <w:tc>
          <w:tcPr>
            <w:tcW w:w="869" w:type="dxa"/>
          </w:tcPr>
          <w:p>
            <w:pPr>
              <w:pStyle w:val="TableParagraph"/>
              <w:spacing w:before="1"/>
              <w:ind w:right="101"/>
              <w:jc w:val="right"/>
              <w:rPr>
                <w:sz w:val="22"/>
              </w:rPr>
            </w:pPr>
            <w:r>
              <w:rPr>
                <w:sz w:val="22"/>
              </w:rPr>
              <w:t>264</w:t>
            </w:r>
          </w:p>
        </w:tc>
        <w:tc>
          <w:tcPr>
            <w:tcW w:w="878" w:type="dxa"/>
          </w:tcPr>
          <w:p>
            <w:pPr>
              <w:pStyle w:val="TableParagraph"/>
              <w:spacing w:before="1"/>
              <w:ind w:right="101"/>
              <w:jc w:val="right"/>
              <w:rPr>
                <w:sz w:val="22"/>
              </w:rPr>
            </w:pPr>
            <w:r>
              <w:rPr>
                <w:sz w:val="22"/>
              </w:rPr>
              <w:t>140</w:t>
            </w:r>
          </w:p>
        </w:tc>
        <w:tc>
          <w:tcPr>
            <w:tcW w:w="878" w:type="dxa"/>
          </w:tcPr>
          <w:p>
            <w:pPr>
              <w:pStyle w:val="TableParagraph"/>
              <w:spacing w:before="1"/>
              <w:ind w:right="101"/>
              <w:jc w:val="right"/>
              <w:rPr>
                <w:sz w:val="22"/>
              </w:rPr>
            </w:pPr>
            <w:r>
              <w:rPr>
                <w:sz w:val="22"/>
              </w:rPr>
              <w:t>224</w:t>
            </w:r>
          </w:p>
        </w:tc>
        <w:tc>
          <w:tcPr>
            <w:tcW w:w="1113" w:type="dxa"/>
          </w:tcPr>
          <w:p>
            <w:pPr>
              <w:pStyle w:val="TableParagraph"/>
              <w:spacing w:before="1"/>
              <w:ind w:right="101"/>
              <w:jc w:val="right"/>
              <w:rPr>
                <w:sz w:val="22"/>
              </w:rPr>
            </w:pPr>
            <w:r>
              <w:rPr>
                <w:sz w:val="22"/>
              </w:rPr>
              <w:t>628</w:t>
            </w:r>
          </w:p>
        </w:tc>
      </w:tr>
      <w:tr>
        <w:trPr>
          <w:trHeight w:val="503" w:hRule="atLeast"/>
        </w:trPr>
        <w:tc>
          <w:tcPr>
            <w:tcW w:w="1576" w:type="dxa"/>
          </w:tcPr>
          <w:p>
            <w:pPr>
              <w:pStyle w:val="TableParagraph"/>
              <w:spacing w:before="1"/>
              <w:ind w:left="112"/>
              <w:rPr>
                <w:sz w:val="22"/>
              </w:rPr>
            </w:pPr>
            <w:r>
              <w:rPr>
                <w:sz w:val="22"/>
              </w:rPr>
              <w:t>Other</w:t>
            </w:r>
          </w:p>
        </w:tc>
        <w:tc>
          <w:tcPr>
            <w:tcW w:w="954" w:type="dxa"/>
          </w:tcPr>
          <w:p>
            <w:pPr>
              <w:pStyle w:val="TableParagraph"/>
              <w:spacing w:before="1"/>
              <w:ind w:right="100"/>
              <w:jc w:val="right"/>
              <w:rPr>
                <w:sz w:val="22"/>
              </w:rPr>
            </w:pPr>
            <w:r>
              <w:rPr>
                <w:sz w:val="22"/>
              </w:rPr>
              <w:t>5,085</w:t>
            </w:r>
          </w:p>
        </w:tc>
        <w:tc>
          <w:tcPr>
            <w:tcW w:w="954" w:type="dxa"/>
          </w:tcPr>
          <w:p>
            <w:pPr>
              <w:pStyle w:val="TableParagraph"/>
              <w:spacing w:before="1"/>
              <w:ind w:right="100"/>
              <w:jc w:val="right"/>
              <w:rPr>
                <w:sz w:val="22"/>
              </w:rPr>
            </w:pPr>
            <w:r>
              <w:rPr>
                <w:sz w:val="22"/>
              </w:rPr>
              <w:t>2,420</w:t>
            </w:r>
          </w:p>
        </w:tc>
        <w:tc>
          <w:tcPr>
            <w:tcW w:w="954" w:type="dxa"/>
          </w:tcPr>
          <w:p>
            <w:pPr>
              <w:pStyle w:val="TableParagraph"/>
              <w:spacing w:before="1"/>
              <w:ind w:right="101"/>
              <w:jc w:val="right"/>
              <w:rPr>
                <w:sz w:val="22"/>
              </w:rPr>
            </w:pPr>
            <w:r>
              <w:rPr>
                <w:sz w:val="22"/>
              </w:rPr>
              <w:t>1,034</w:t>
            </w:r>
          </w:p>
        </w:tc>
        <w:tc>
          <w:tcPr>
            <w:tcW w:w="1174" w:type="dxa"/>
          </w:tcPr>
          <w:p>
            <w:pPr>
              <w:pStyle w:val="TableParagraph"/>
              <w:spacing w:before="1"/>
              <w:ind w:right="101"/>
              <w:jc w:val="right"/>
              <w:rPr>
                <w:sz w:val="22"/>
              </w:rPr>
            </w:pPr>
            <w:r>
              <w:rPr>
                <w:sz w:val="22"/>
              </w:rPr>
              <w:t>8,539</w:t>
            </w:r>
          </w:p>
        </w:tc>
        <w:tc>
          <w:tcPr>
            <w:tcW w:w="869" w:type="dxa"/>
          </w:tcPr>
          <w:p>
            <w:pPr>
              <w:pStyle w:val="TableParagraph"/>
              <w:spacing w:before="1"/>
              <w:ind w:right="101"/>
              <w:jc w:val="right"/>
              <w:rPr>
                <w:sz w:val="22"/>
              </w:rPr>
            </w:pPr>
            <w:r>
              <w:rPr>
                <w:sz w:val="22"/>
              </w:rPr>
              <w:t>169</w:t>
            </w:r>
          </w:p>
        </w:tc>
        <w:tc>
          <w:tcPr>
            <w:tcW w:w="878" w:type="dxa"/>
          </w:tcPr>
          <w:p>
            <w:pPr>
              <w:pStyle w:val="TableParagraph"/>
              <w:spacing w:before="1"/>
              <w:ind w:right="101"/>
              <w:jc w:val="right"/>
              <w:rPr>
                <w:sz w:val="22"/>
              </w:rPr>
            </w:pPr>
            <w:r>
              <w:rPr>
                <w:sz w:val="22"/>
              </w:rPr>
              <w:t>64</w:t>
            </w:r>
          </w:p>
        </w:tc>
        <w:tc>
          <w:tcPr>
            <w:tcW w:w="878" w:type="dxa"/>
          </w:tcPr>
          <w:p>
            <w:pPr>
              <w:pStyle w:val="TableParagraph"/>
              <w:spacing w:before="1"/>
              <w:ind w:right="101"/>
              <w:jc w:val="right"/>
              <w:rPr>
                <w:sz w:val="22"/>
              </w:rPr>
            </w:pPr>
            <w:r>
              <w:rPr>
                <w:sz w:val="22"/>
              </w:rPr>
              <w:t>115</w:t>
            </w:r>
          </w:p>
        </w:tc>
        <w:tc>
          <w:tcPr>
            <w:tcW w:w="1113" w:type="dxa"/>
          </w:tcPr>
          <w:p>
            <w:pPr>
              <w:pStyle w:val="TableParagraph"/>
              <w:spacing w:before="1"/>
              <w:ind w:right="101"/>
              <w:jc w:val="right"/>
              <w:rPr>
                <w:sz w:val="22"/>
              </w:rPr>
            </w:pPr>
            <w:r>
              <w:rPr>
                <w:sz w:val="22"/>
              </w:rPr>
              <w:t>348</w:t>
            </w:r>
          </w:p>
        </w:tc>
      </w:tr>
      <w:tr>
        <w:trPr>
          <w:trHeight w:val="812" w:hRule="atLeast"/>
        </w:trPr>
        <w:tc>
          <w:tcPr>
            <w:tcW w:w="1576" w:type="dxa"/>
          </w:tcPr>
          <w:p>
            <w:pPr>
              <w:pStyle w:val="TableParagraph"/>
              <w:spacing w:line="276" w:lineRule="auto" w:before="1"/>
              <w:ind w:left="112" w:right="211"/>
              <w:rPr>
                <w:sz w:val="22"/>
              </w:rPr>
            </w:pPr>
            <w:r>
              <w:rPr>
                <w:sz w:val="22"/>
              </w:rPr>
              <w:t>Total need by income</w:t>
            </w:r>
          </w:p>
        </w:tc>
        <w:tc>
          <w:tcPr>
            <w:tcW w:w="954" w:type="dxa"/>
          </w:tcPr>
          <w:p>
            <w:pPr>
              <w:pStyle w:val="TableParagraph"/>
              <w:spacing w:before="1"/>
              <w:ind w:right="100"/>
              <w:jc w:val="right"/>
              <w:rPr>
                <w:sz w:val="22"/>
              </w:rPr>
            </w:pPr>
            <w:r>
              <w:rPr>
                <w:sz w:val="22"/>
              </w:rPr>
              <w:t>6,435</w:t>
            </w:r>
          </w:p>
        </w:tc>
        <w:tc>
          <w:tcPr>
            <w:tcW w:w="954" w:type="dxa"/>
          </w:tcPr>
          <w:p>
            <w:pPr>
              <w:pStyle w:val="TableParagraph"/>
              <w:spacing w:before="1"/>
              <w:ind w:right="100"/>
              <w:jc w:val="right"/>
              <w:rPr>
                <w:sz w:val="22"/>
              </w:rPr>
            </w:pPr>
            <w:r>
              <w:rPr>
                <w:sz w:val="22"/>
              </w:rPr>
              <w:t>3,233</w:t>
            </w:r>
          </w:p>
        </w:tc>
        <w:tc>
          <w:tcPr>
            <w:tcW w:w="954" w:type="dxa"/>
          </w:tcPr>
          <w:p>
            <w:pPr>
              <w:pStyle w:val="TableParagraph"/>
              <w:spacing w:before="1"/>
              <w:ind w:right="101"/>
              <w:jc w:val="right"/>
              <w:rPr>
                <w:sz w:val="22"/>
              </w:rPr>
            </w:pPr>
            <w:r>
              <w:rPr>
                <w:sz w:val="22"/>
              </w:rPr>
              <w:t>1,419</w:t>
            </w:r>
          </w:p>
        </w:tc>
        <w:tc>
          <w:tcPr>
            <w:tcW w:w="1174" w:type="dxa"/>
          </w:tcPr>
          <w:p>
            <w:pPr>
              <w:pStyle w:val="TableParagraph"/>
              <w:spacing w:before="1"/>
              <w:ind w:right="101"/>
              <w:jc w:val="right"/>
              <w:rPr>
                <w:sz w:val="22"/>
              </w:rPr>
            </w:pPr>
            <w:r>
              <w:rPr>
                <w:sz w:val="22"/>
              </w:rPr>
              <w:t>11,087</w:t>
            </w:r>
          </w:p>
        </w:tc>
        <w:tc>
          <w:tcPr>
            <w:tcW w:w="869" w:type="dxa"/>
          </w:tcPr>
          <w:p>
            <w:pPr>
              <w:pStyle w:val="TableParagraph"/>
              <w:spacing w:before="1"/>
              <w:ind w:right="101"/>
              <w:jc w:val="right"/>
              <w:rPr>
                <w:sz w:val="22"/>
              </w:rPr>
            </w:pPr>
            <w:r>
              <w:rPr>
                <w:sz w:val="22"/>
              </w:rPr>
              <w:t>588</w:t>
            </w:r>
          </w:p>
        </w:tc>
        <w:tc>
          <w:tcPr>
            <w:tcW w:w="878" w:type="dxa"/>
          </w:tcPr>
          <w:p>
            <w:pPr>
              <w:pStyle w:val="TableParagraph"/>
              <w:spacing w:before="1"/>
              <w:ind w:right="101"/>
              <w:jc w:val="right"/>
              <w:rPr>
                <w:sz w:val="22"/>
              </w:rPr>
            </w:pPr>
            <w:r>
              <w:rPr>
                <w:sz w:val="22"/>
              </w:rPr>
              <w:t>288</w:t>
            </w:r>
          </w:p>
        </w:tc>
        <w:tc>
          <w:tcPr>
            <w:tcW w:w="878" w:type="dxa"/>
          </w:tcPr>
          <w:p>
            <w:pPr>
              <w:pStyle w:val="TableParagraph"/>
              <w:spacing w:before="1"/>
              <w:ind w:right="101"/>
              <w:jc w:val="right"/>
              <w:rPr>
                <w:sz w:val="22"/>
              </w:rPr>
            </w:pPr>
            <w:r>
              <w:rPr>
                <w:sz w:val="22"/>
              </w:rPr>
              <w:t>498</w:t>
            </w:r>
          </w:p>
        </w:tc>
        <w:tc>
          <w:tcPr>
            <w:tcW w:w="1113" w:type="dxa"/>
          </w:tcPr>
          <w:p>
            <w:pPr>
              <w:pStyle w:val="TableParagraph"/>
              <w:spacing w:before="1"/>
              <w:ind w:right="101"/>
              <w:jc w:val="right"/>
              <w:rPr>
                <w:sz w:val="22"/>
              </w:rPr>
            </w:pPr>
            <w:r>
              <w:rPr>
                <w:sz w:val="22"/>
              </w:rPr>
              <w:t>1,374</w:t>
            </w:r>
          </w:p>
        </w:tc>
      </w:tr>
    </w:tbl>
    <w:p>
      <w:pPr>
        <w:spacing w:before="0"/>
        <w:ind w:left="535" w:right="874" w:firstLine="0"/>
        <w:jc w:val="center"/>
        <w:rPr>
          <w:rFonts w:ascii="Arial" w:hAnsi="Arial"/>
          <w:b/>
          <w:sz w:val="20"/>
        </w:rPr>
      </w:pPr>
      <w:r>
        <w:rPr>
          <w:rFonts w:ascii="Arial" w:hAnsi="Arial"/>
          <w:b/>
          <w:sz w:val="20"/>
        </w:rPr>
        <w:t>Table 9 – Cost Burden &gt; 30%</w:t>
      </w:r>
    </w:p>
    <w:p>
      <w:pPr>
        <w:spacing w:after="0"/>
        <w:jc w:val="center"/>
        <w:rPr>
          <w:rFonts w:ascii="Arial" w:hAnsi="Arial"/>
          <w:sz w:val="20"/>
        </w:rPr>
        <w:sectPr>
          <w:type w:val="continuous"/>
          <w:pgSz w:w="12240" w:h="15840"/>
          <w:pgMar w:top="1340" w:bottom="1520" w:left="1220" w:right="880"/>
        </w:sectPr>
      </w:pPr>
    </w:p>
    <w:p>
      <w:pPr>
        <w:spacing w:before="93"/>
        <w:ind w:left="335" w:right="20" w:firstLine="0"/>
        <w:jc w:val="left"/>
        <w:rPr>
          <w:b/>
          <w:sz w:val="16"/>
        </w:rPr>
      </w:pPr>
      <w:r>
        <w:rPr>
          <w:b/>
          <w:sz w:val="16"/>
        </w:rPr>
        <w:t>Data Source:</w:t>
      </w:r>
    </w:p>
    <w:p>
      <w:pPr>
        <w:spacing w:before="93"/>
        <w:ind w:left="335" w:right="0" w:firstLine="0"/>
        <w:jc w:val="left"/>
        <w:rPr>
          <w:sz w:val="16"/>
        </w:rPr>
      </w:pPr>
      <w:r>
        <w:rPr/>
        <w:br w:type="column"/>
      </w:r>
      <w:r>
        <w:rPr>
          <w:sz w:val="16"/>
        </w:rPr>
        <w:t>2016-2020 CHAS</w:t>
      </w:r>
    </w:p>
    <w:p>
      <w:pPr>
        <w:spacing w:after="0"/>
        <w:jc w:val="left"/>
        <w:rPr>
          <w:sz w:val="16"/>
        </w:rPr>
        <w:sectPr>
          <w:pgSz w:w="12240" w:h="15840"/>
          <w:pgMar w:header="769" w:footer="1321" w:top="1340" w:bottom="1540" w:left="1220" w:right="880"/>
          <w:cols w:num="2" w:equalWidth="0">
            <w:col w:w="872" w:space="94"/>
            <w:col w:w="9174"/>
          </w:cols>
        </w:sectPr>
      </w:pPr>
    </w:p>
    <w:p>
      <w:pPr>
        <w:pStyle w:val="BodyText"/>
        <w:rPr>
          <w:sz w:val="20"/>
        </w:rPr>
      </w:pPr>
    </w:p>
    <w:p>
      <w:pPr>
        <w:pStyle w:val="BodyText"/>
        <w:spacing w:before="4"/>
        <w:rPr>
          <w:sz w:val="20"/>
        </w:rPr>
      </w:pPr>
    </w:p>
    <w:p>
      <w:pPr>
        <w:pStyle w:val="Heading5"/>
        <w:numPr>
          <w:ilvl w:val="0"/>
          <w:numId w:val="5"/>
        </w:numPr>
        <w:tabs>
          <w:tab w:pos="457" w:val="left" w:leader="none"/>
        </w:tabs>
        <w:spacing w:line="240" w:lineRule="auto" w:before="52" w:after="0"/>
        <w:ind w:left="456" w:right="0" w:hanging="237"/>
        <w:jc w:val="left"/>
      </w:pPr>
      <w:r>
        <w:rPr/>
        <w:t>Cost Burden &gt; 50%</w:t>
      </w:r>
    </w:p>
    <w:p>
      <w:pPr>
        <w:pStyle w:val="BodyText"/>
        <w:spacing w:before="7"/>
        <w:rPr>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8"/>
        <w:gridCol w:w="888"/>
        <w:gridCol w:w="968"/>
        <w:gridCol w:w="968"/>
        <w:gridCol w:w="1135"/>
        <w:gridCol w:w="888"/>
        <w:gridCol w:w="895"/>
        <w:gridCol w:w="895"/>
        <w:gridCol w:w="1095"/>
      </w:tblGrid>
      <w:tr>
        <w:trPr>
          <w:trHeight w:val="239" w:hRule="atLeast"/>
        </w:trPr>
        <w:tc>
          <w:tcPr>
            <w:tcW w:w="1618" w:type="dxa"/>
            <w:vMerge w:val="restart"/>
          </w:tcPr>
          <w:p>
            <w:pPr>
              <w:pStyle w:val="TableParagraph"/>
              <w:rPr>
                <w:rFonts w:ascii="Times New Roman"/>
                <w:sz w:val="20"/>
              </w:rPr>
            </w:pPr>
          </w:p>
        </w:tc>
        <w:tc>
          <w:tcPr>
            <w:tcW w:w="3959" w:type="dxa"/>
            <w:gridSpan w:val="4"/>
          </w:tcPr>
          <w:p>
            <w:pPr>
              <w:pStyle w:val="TableParagraph"/>
              <w:spacing w:line="218" w:lineRule="exact" w:before="1"/>
              <w:ind w:left="1676" w:right="1666"/>
              <w:jc w:val="center"/>
              <w:rPr>
                <w:b/>
                <w:sz w:val="20"/>
              </w:rPr>
            </w:pPr>
            <w:r>
              <w:rPr>
                <w:b/>
                <w:sz w:val="20"/>
              </w:rPr>
              <w:t>Renter</w:t>
            </w:r>
          </w:p>
        </w:tc>
        <w:tc>
          <w:tcPr>
            <w:tcW w:w="3773" w:type="dxa"/>
            <w:gridSpan w:val="4"/>
          </w:tcPr>
          <w:p>
            <w:pPr>
              <w:pStyle w:val="TableParagraph"/>
              <w:spacing w:line="218" w:lineRule="exact" w:before="1"/>
              <w:ind w:left="1582" w:right="1572"/>
              <w:jc w:val="center"/>
              <w:rPr>
                <w:b/>
                <w:sz w:val="20"/>
              </w:rPr>
            </w:pPr>
            <w:r>
              <w:rPr>
                <w:b/>
                <w:sz w:val="20"/>
              </w:rPr>
              <w:t>Owner</w:t>
            </w:r>
          </w:p>
        </w:tc>
      </w:tr>
      <w:tr>
        <w:trPr>
          <w:trHeight w:val="727" w:hRule="atLeast"/>
        </w:trPr>
        <w:tc>
          <w:tcPr>
            <w:tcW w:w="1618" w:type="dxa"/>
            <w:vMerge/>
            <w:tcBorders>
              <w:top w:val="nil"/>
            </w:tcBorders>
          </w:tcPr>
          <w:p>
            <w:pPr>
              <w:rPr>
                <w:sz w:val="2"/>
                <w:szCs w:val="2"/>
              </w:rPr>
            </w:pPr>
          </w:p>
        </w:tc>
        <w:tc>
          <w:tcPr>
            <w:tcW w:w="888" w:type="dxa"/>
          </w:tcPr>
          <w:p>
            <w:pPr>
              <w:pStyle w:val="TableParagraph"/>
              <w:spacing w:before="1"/>
              <w:ind w:left="266" w:right="156" w:hanging="81"/>
              <w:rPr>
                <w:b/>
                <w:sz w:val="20"/>
              </w:rPr>
            </w:pPr>
            <w:r>
              <w:rPr>
                <w:b/>
                <w:sz w:val="20"/>
              </w:rPr>
              <w:t>0-30% AMI</w:t>
            </w:r>
          </w:p>
        </w:tc>
        <w:tc>
          <w:tcPr>
            <w:tcW w:w="968" w:type="dxa"/>
          </w:tcPr>
          <w:p>
            <w:pPr>
              <w:pStyle w:val="TableParagraph"/>
              <w:spacing w:before="1"/>
              <w:ind w:left="306" w:right="96" w:hanging="182"/>
              <w:rPr>
                <w:b/>
                <w:sz w:val="20"/>
              </w:rPr>
            </w:pPr>
            <w:r>
              <w:rPr>
                <w:b/>
                <w:sz w:val="20"/>
              </w:rPr>
              <w:t>&gt;30-50% AMI</w:t>
            </w:r>
          </w:p>
        </w:tc>
        <w:tc>
          <w:tcPr>
            <w:tcW w:w="968" w:type="dxa"/>
          </w:tcPr>
          <w:p>
            <w:pPr>
              <w:pStyle w:val="TableParagraph"/>
              <w:spacing w:before="1"/>
              <w:ind w:left="306" w:right="96" w:hanging="182"/>
              <w:rPr>
                <w:b/>
                <w:sz w:val="20"/>
              </w:rPr>
            </w:pPr>
            <w:r>
              <w:rPr>
                <w:b/>
                <w:sz w:val="20"/>
              </w:rPr>
              <w:t>&gt;50-80% AMI</w:t>
            </w:r>
          </w:p>
        </w:tc>
        <w:tc>
          <w:tcPr>
            <w:tcW w:w="1135" w:type="dxa"/>
          </w:tcPr>
          <w:p>
            <w:pPr>
              <w:pStyle w:val="TableParagraph"/>
              <w:spacing w:before="1"/>
              <w:ind w:left="353"/>
              <w:rPr>
                <w:b/>
                <w:sz w:val="20"/>
              </w:rPr>
            </w:pPr>
            <w:r>
              <w:rPr>
                <w:b/>
                <w:sz w:val="20"/>
              </w:rPr>
              <w:t>Total</w:t>
            </w:r>
          </w:p>
        </w:tc>
        <w:tc>
          <w:tcPr>
            <w:tcW w:w="888" w:type="dxa"/>
          </w:tcPr>
          <w:p>
            <w:pPr>
              <w:pStyle w:val="TableParagraph"/>
              <w:spacing w:before="1"/>
              <w:ind w:left="266" w:right="156" w:hanging="81"/>
              <w:rPr>
                <w:b/>
                <w:sz w:val="20"/>
              </w:rPr>
            </w:pPr>
            <w:r>
              <w:rPr>
                <w:b/>
                <w:sz w:val="20"/>
              </w:rPr>
              <w:t>0-30% AMI</w:t>
            </w:r>
          </w:p>
        </w:tc>
        <w:tc>
          <w:tcPr>
            <w:tcW w:w="895" w:type="dxa"/>
          </w:tcPr>
          <w:p>
            <w:pPr>
              <w:pStyle w:val="TableParagraph"/>
              <w:spacing w:before="1"/>
              <w:ind w:left="263"/>
              <w:rPr>
                <w:b/>
                <w:sz w:val="20"/>
              </w:rPr>
            </w:pPr>
            <w:r>
              <w:rPr>
                <w:b/>
                <w:sz w:val="20"/>
              </w:rPr>
              <w:t>&gt;30-</w:t>
            </w:r>
          </w:p>
          <w:p>
            <w:pPr>
              <w:pStyle w:val="TableParagraph"/>
              <w:spacing w:line="240" w:lineRule="atLeast"/>
              <w:ind w:left="270" w:right="240"/>
              <w:rPr>
                <w:b/>
                <w:sz w:val="20"/>
              </w:rPr>
            </w:pPr>
            <w:r>
              <w:rPr>
                <w:b/>
                <w:sz w:val="20"/>
              </w:rPr>
              <w:t>50% AMI</w:t>
            </w:r>
          </w:p>
        </w:tc>
        <w:tc>
          <w:tcPr>
            <w:tcW w:w="895" w:type="dxa"/>
          </w:tcPr>
          <w:p>
            <w:pPr>
              <w:pStyle w:val="TableParagraph"/>
              <w:spacing w:before="1"/>
              <w:ind w:left="263"/>
              <w:rPr>
                <w:b/>
                <w:sz w:val="20"/>
              </w:rPr>
            </w:pPr>
            <w:r>
              <w:rPr>
                <w:b/>
                <w:sz w:val="20"/>
              </w:rPr>
              <w:t>&gt;50-</w:t>
            </w:r>
          </w:p>
          <w:p>
            <w:pPr>
              <w:pStyle w:val="TableParagraph"/>
              <w:spacing w:line="240" w:lineRule="atLeast"/>
              <w:ind w:left="270" w:right="240"/>
              <w:rPr>
                <w:b/>
                <w:sz w:val="20"/>
              </w:rPr>
            </w:pPr>
            <w:r>
              <w:rPr>
                <w:b/>
                <w:sz w:val="20"/>
              </w:rPr>
              <w:t>80% AMI</w:t>
            </w:r>
          </w:p>
        </w:tc>
        <w:tc>
          <w:tcPr>
            <w:tcW w:w="1095" w:type="dxa"/>
          </w:tcPr>
          <w:p>
            <w:pPr>
              <w:pStyle w:val="TableParagraph"/>
              <w:spacing w:before="1"/>
              <w:ind w:left="333"/>
              <w:rPr>
                <w:b/>
                <w:sz w:val="20"/>
              </w:rPr>
            </w:pPr>
            <w:r>
              <w:rPr>
                <w:b/>
                <w:sz w:val="20"/>
              </w:rPr>
              <w:t>Total</w:t>
            </w:r>
          </w:p>
        </w:tc>
      </w:tr>
      <w:tr>
        <w:trPr>
          <w:trHeight w:val="257" w:hRule="atLeast"/>
        </w:trPr>
        <w:tc>
          <w:tcPr>
            <w:tcW w:w="9350" w:type="dxa"/>
            <w:gridSpan w:val="9"/>
          </w:tcPr>
          <w:p>
            <w:pPr>
              <w:pStyle w:val="TableParagraph"/>
              <w:spacing w:line="238" w:lineRule="exact"/>
              <w:ind w:left="112"/>
              <w:rPr>
                <w:sz w:val="22"/>
              </w:rPr>
            </w:pPr>
            <w:r>
              <w:rPr>
                <w:sz w:val="22"/>
              </w:rPr>
              <w:t>NUMBER OF HOUSEHOLDS</w:t>
            </w:r>
          </w:p>
        </w:tc>
      </w:tr>
      <w:tr>
        <w:trPr>
          <w:trHeight w:val="503" w:hRule="atLeast"/>
        </w:trPr>
        <w:tc>
          <w:tcPr>
            <w:tcW w:w="1618" w:type="dxa"/>
          </w:tcPr>
          <w:p>
            <w:pPr>
              <w:pStyle w:val="TableParagraph"/>
              <w:spacing w:before="1"/>
              <w:ind w:left="112"/>
              <w:rPr>
                <w:sz w:val="22"/>
              </w:rPr>
            </w:pPr>
            <w:r>
              <w:rPr>
                <w:sz w:val="22"/>
              </w:rPr>
              <w:t>Small Related</w:t>
            </w:r>
          </w:p>
        </w:tc>
        <w:tc>
          <w:tcPr>
            <w:tcW w:w="888" w:type="dxa"/>
          </w:tcPr>
          <w:p>
            <w:pPr>
              <w:pStyle w:val="TableParagraph"/>
              <w:spacing w:before="1"/>
              <w:ind w:right="100"/>
              <w:jc w:val="right"/>
              <w:rPr>
                <w:sz w:val="22"/>
              </w:rPr>
            </w:pPr>
            <w:r>
              <w:rPr>
                <w:sz w:val="22"/>
              </w:rPr>
              <w:t>0</w:t>
            </w:r>
          </w:p>
        </w:tc>
        <w:tc>
          <w:tcPr>
            <w:tcW w:w="968" w:type="dxa"/>
          </w:tcPr>
          <w:p>
            <w:pPr>
              <w:pStyle w:val="TableParagraph"/>
              <w:spacing w:before="1"/>
              <w:ind w:right="100"/>
              <w:jc w:val="right"/>
              <w:rPr>
                <w:sz w:val="22"/>
              </w:rPr>
            </w:pPr>
            <w:r>
              <w:rPr>
                <w:sz w:val="22"/>
              </w:rPr>
              <w:t>0</w:t>
            </w:r>
          </w:p>
        </w:tc>
        <w:tc>
          <w:tcPr>
            <w:tcW w:w="968" w:type="dxa"/>
          </w:tcPr>
          <w:p>
            <w:pPr>
              <w:pStyle w:val="TableParagraph"/>
              <w:spacing w:before="1"/>
              <w:ind w:right="100"/>
              <w:jc w:val="right"/>
              <w:rPr>
                <w:sz w:val="22"/>
              </w:rPr>
            </w:pPr>
            <w:r>
              <w:rPr>
                <w:sz w:val="22"/>
              </w:rPr>
              <w:t>125</w:t>
            </w:r>
          </w:p>
        </w:tc>
        <w:tc>
          <w:tcPr>
            <w:tcW w:w="1135" w:type="dxa"/>
          </w:tcPr>
          <w:p>
            <w:pPr>
              <w:pStyle w:val="TableParagraph"/>
              <w:spacing w:before="1"/>
              <w:ind w:right="100"/>
              <w:jc w:val="right"/>
              <w:rPr>
                <w:sz w:val="22"/>
              </w:rPr>
            </w:pPr>
            <w:r>
              <w:rPr>
                <w:sz w:val="22"/>
              </w:rPr>
              <w:t>125</w:t>
            </w:r>
          </w:p>
        </w:tc>
        <w:tc>
          <w:tcPr>
            <w:tcW w:w="888" w:type="dxa"/>
          </w:tcPr>
          <w:p>
            <w:pPr>
              <w:pStyle w:val="TableParagraph"/>
              <w:spacing w:before="1"/>
              <w:ind w:right="100"/>
              <w:jc w:val="right"/>
              <w:rPr>
                <w:sz w:val="22"/>
              </w:rPr>
            </w:pPr>
            <w:r>
              <w:rPr>
                <w:sz w:val="22"/>
              </w:rPr>
              <w:t>110</w:t>
            </w:r>
          </w:p>
        </w:tc>
        <w:tc>
          <w:tcPr>
            <w:tcW w:w="895" w:type="dxa"/>
          </w:tcPr>
          <w:p>
            <w:pPr>
              <w:pStyle w:val="TableParagraph"/>
              <w:spacing w:before="1"/>
              <w:ind w:right="100"/>
              <w:jc w:val="right"/>
              <w:rPr>
                <w:sz w:val="22"/>
              </w:rPr>
            </w:pPr>
            <w:r>
              <w:rPr>
                <w:sz w:val="22"/>
              </w:rPr>
              <w:t>35</w:t>
            </w:r>
          </w:p>
        </w:tc>
        <w:tc>
          <w:tcPr>
            <w:tcW w:w="895" w:type="dxa"/>
          </w:tcPr>
          <w:p>
            <w:pPr>
              <w:pStyle w:val="TableParagraph"/>
              <w:spacing w:before="1"/>
              <w:ind w:right="100"/>
              <w:jc w:val="right"/>
              <w:rPr>
                <w:sz w:val="22"/>
              </w:rPr>
            </w:pPr>
            <w:r>
              <w:rPr>
                <w:sz w:val="22"/>
              </w:rPr>
              <w:t>0</w:t>
            </w:r>
          </w:p>
        </w:tc>
        <w:tc>
          <w:tcPr>
            <w:tcW w:w="1095" w:type="dxa"/>
          </w:tcPr>
          <w:p>
            <w:pPr>
              <w:pStyle w:val="TableParagraph"/>
              <w:spacing w:before="1"/>
              <w:ind w:right="100"/>
              <w:jc w:val="right"/>
              <w:rPr>
                <w:sz w:val="22"/>
              </w:rPr>
            </w:pPr>
            <w:r>
              <w:rPr>
                <w:sz w:val="22"/>
              </w:rPr>
              <w:t>145</w:t>
            </w:r>
          </w:p>
        </w:tc>
      </w:tr>
      <w:tr>
        <w:trPr>
          <w:trHeight w:val="503" w:hRule="atLeast"/>
        </w:trPr>
        <w:tc>
          <w:tcPr>
            <w:tcW w:w="1618" w:type="dxa"/>
          </w:tcPr>
          <w:p>
            <w:pPr>
              <w:pStyle w:val="TableParagraph"/>
              <w:spacing w:before="1"/>
              <w:ind w:left="112"/>
              <w:rPr>
                <w:sz w:val="22"/>
              </w:rPr>
            </w:pPr>
            <w:r>
              <w:rPr>
                <w:sz w:val="22"/>
              </w:rPr>
              <w:t>Large Related</w:t>
            </w:r>
          </w:p>
        </w:tc>
        <w:tc>
          <w:tcPr>
            <w:tcW w:w="888" w:type="dxa"/>
          </w:tcPr>
          <w:p>
            <w:pPr>
              <w:pStyle w:val="TableParagraph"/>
              <w:spacing w:before="1"/>
              <w:ind w:right="100"/>
              <w:jc w:val="right"/>
              <w:rPr>
                <w:sz w:val="22"/>
              </w:rPr>
            </w:pPr>
            <w:r>
              <w:rPr>
                <w:sz w:val="22"/>
              </w:rPr>
              <w:t>0</w:t>
            </w:r>
          </w:p>
        </w:tc>
        <w:tc>
          <w:tcPr>
            <w:tcW w:w="968" w:type="dxa"/>
          </w:tcPr>
          <w:p>
            <w:pPr>
              <w:pStyle w:val="TableParagraph"/>
              <w:spacing w:before="1"/>
              <w:ind w:right="100"/>
              <w:jc w:val="right"/>
              <w:rPr>
                <w:sz w:val="22"/>
              </w:rPr>
            </w:pPr>
            <w:r>
              <w:rPr>
                <w:sz w:val="22"/>
              </w:rPr>
              <w:t>0</w:t>
            </w:r>
          </w:p>
        </w:tc>
        <w:tc>
          <w:tcPr>
            <w:tcW w:w="968" w:type="dxa"/>
          </w:tcPr>
          <w:p>
            <w:pPr>
              <w:pStyle w:val="TableParagraph"/>
              <w:spacing w:before="1"/>
              <w:ind w:right="100"/>
              <w:jc w:val="right"/>
              <w:rPr>
                <w:sz w:val="22"/>
              </w:rPr>
            </w:pPr>
            <w:r>
              <w:rPr>
                <w:sz w:val="22"/>
              </w:rPr>
              <w:t>4</w:t>
            </w:r>
          </w:p>
        </w:tc>
        <w:tc>
          <w:tcPr>
            <w:tcW w:w="1135" w:type="dxa"/>
          </w:tcPr>
          <w:p>
            <w:pPr>
              <w:pStyle w:val="TableParagraph"/>
              <w:spacing w:before="1"/>
              <w:ind w:right="100"/>
              <w:jc w:val="right"/>
              <w:rPr>
                <w:sz w:val="22"/>
              </w:rPr>
            </w:pPr>
            <w:r>
              <w:rPr>
                <w:sz w:val="22"/>
              </w:rPr>
              <w:t>4</w:t>
            </w:r>
          </w:p>
        </w:tc>
        <w:tc>
          <w:tcPr>
            <w:tcW w:w="888" w:type="dxa"/>
          </w:tcPr>
          <w:p>
            <w:pPr>
              <w:pStyle w:val="TableParagraph"/>
              <w:spacing w:before="1"/>
              <w:ind w:right="100"/>
              <w:jc w:val="right"/>
              <w:rPr>
                <w:sz w:val="22"/>
              </w:rPr>
            </w:pPr>
            <w:r>
              <w:rPr>
                <w:sz w:val="22"/>
              </w:rPr>
              <w:t>20</w:t>
            </w:r>
          </w:p>
        </w:tc>
        <w:tc>
          <w:tcPr>
            <w:tcW w:w="895" w:type="dxa"/>
          </w:tcPr>
          <w:p>
            <w:pPr>
              <w:pStyle w:val="TableParagraph"/>
              <w:spacing w:before="1"/>
              <w:ind w:right="100"/>
              <w:jc w:val="right"/>
              <w:rPr>
                <w:sz w:val="22"/>
              </w:rPr>
            </w:pPr>
            <w:r>
              <w:rPr>
                <w:sz w:val="22"/>
              </w:rPr>
              <w:t>0</w:t>
            </w:r>
          </w:p>
        </w:tc>
        <w:tc>
          <w:tcPr>
            <w:tcW w:w="895" w:type="dxa"/>
          </w:tcPr>
          <w:p>
            <w:pPr>
              <w:pStyle w:val="TableParagraph"/>
              <w:spacing w:before="1"/>
              <w:ind w:right="100"/>
              <w:jc w:val="right"/>
              <w:rPr>
                <w:sz w:val="22"/>
              </w:rPr>
            </w:pPr>
            <w:r>
              <w:rPr>
                <w:sz w:val="22"/>
              </w:rPr>
              <w:t>15</w:t>
            </w:r>
          </w:p>
        </w:tc>
        <w:tc>
          <w:tcPr>
            <w:tcW w:w="1095" w:type="dxa"/>
          </w:tcPr>
          <w:p>
            <w:pPr>
              <w:pStyle w:val="TableParagraph"/>
              <w:spacing w:before="1"/>
              <w:ind w:right="100"/>
              <w:jc w:val="right"/>
              <w:rPr>
                <w:sz w:val="22"/>
              </w:rPr>
            </w:pPr>
            <w:r>
              <w:rPr>
                <w:sz w:val="22"/>
              </w:rPr>
              <w:t>35</w:t>
            </w:r>
          </w:p>
        </w:tc>
      </w:tr>
      <w:tr>
        <w:trPr>
          <w:trHeight w:val="503" w:hRule="atLeast"/>
        </w:trPr>
        <w:tc>
          <w:tcPr>
            <w:tcW w:w="1618" w:type="dxa"/>
          </w:tcPr>
          <w:p>
            <w:pPr>
              <w:pStyle w:val="TableParagraph"/>
              <w:spacing w:before="1"/>
              <w:ind w:left="112"/>
              <w:rPr>
                <w:sz w:val="22"/>
              </w:rPr>
            </w:pPr>
            <w:r>
              <w:rPr>
                <w:sz w:val="22"/>
              </w:rPr>
              <w:t>Elderly</w:t>
            </w:r>
          </w:p>
        </w:tc>
        <w:tc>
          <w:tcPr>
            <w:tcW w:w="888" w:type="dxa"/>
          </w:tcPr>
          <w:p>
            <w:pPr>
              <w:pStyle w:val="TableParagraph"/>
              <w:spacing w:before="1"/>
              <w:ind w:right="100"/>
              <w:jc w:val="right"/>
              <w:rPr>
                <w:sz w:val="22"/>
              </w:rPr>
            </w:pPr>
            <w:r>
              <w:rPr>
                <w:sz w:val="22"/>
              </w:rPr>
              <w:t>115</w:t>
            </w:r>
          </w:p>
        </w:tc>
        <w:tc>
          <w:tcPr>
            <w:tcW w:w="968" w:type="dxa"/>
          </w:tcPr>
          <w:p>
            <w:pPr>
              <w:pStyle w:val="TableParagraph"/>
              <w:spacing w:before="1"/>
              <w:ind w:right="100"/>
              <w:jc w:val="right"/>
              <w:rPr>
                <w:sz w:val="22"/>
              </w:rPr>
            </w:pPr>
            <w:r>
              <w:rPr>
                <w:sz w:val="22"/>
              </w:rPr>
              <w:t>120</w:t>
            </w:r>
          </w:p>
        </w:tc>
        <w:tc>
          <w:tcPr>
            <w:tcW w:w="968" w:type="dxa"/>
          </w:tcPr>
          <w:p>
            <w:pPr>
              <w:pStyle w:val="TableParagraph"/>
              <w:spacing w:before="1"/>
              <w:ind w:right="100"/>
              <w:jc w:val="right"/>
              <w:rPr>
                <w:sz w:val="22"/>
              </w:rPr>
            </w:pPr>
            <w:r>
              <w:rPr>
                <w:sz w:val="22"/>
              </w:rPr>
              <w:t>15</w:t>
            </w:r>
          </w:p>
        </w:tc>
        <w:tc>
          <w:tcPr>
            <w:tcW w:w="1135" w:type="dxa"/>
          </w:tcPr>
          <w:p>
            <w:pPr>
              <w:pStyle w:val="TableParagraph"/>
              <w:spacing w:before="1"/>
              <w:ind w:right="100"/>
              <w:jc w:val="right"/>
              <w:rPr>
                <w:sz w:val="22"/>
              </w:rPr>
            </w:pPr>
            <w:r>
              <w:rPr>
                <w:sz w:val="22"/>
              </w:rPr>
              <w:t>250</w:t>
            </w:r>
          </w:p>
        </w:tc>
        <w:tc>
          <w:tcPr>
            <w:tcW w:w="888" w:type="dxa"/>
          </w:tcPr>
          <w:p>
            <w:pPr>
              <w:pStyle w:val="TableParagraph"/>
              <w:spacing w:before="1"/>
              <w:ind w:right="100"/>
              <w:jc w:val="right"/>
              <w:rPr>
                <w:sz w:val="22"/>
              </w:rPr>
            </w:pPr>
            <w:r>
              <w:rPr>
                <w:sz w:val="22"/>
              </w:rPr>
              <w:t>180</w:t>
            </w:r>
          </w:p>
        </w:tc>
        <w:tc>
          <w:tcPr>
            <w:tcW w:w="895" w:type="dxa"/>
          </w:tcPr>
          <w:p>
            <w:pPr>
              <w:pStyle w:val="TableParagraph"/>
              <w:spacing w:before="1"/>
              <w:ind w:right="100"/>
              <w:jc w:val="right"/>
              <w:rPr>
                <w:sz w:val="22"/>
              </w:rPr>
            </w:pPr>
            <w:r>
              <w:rPr>
                <w:sz w:val="22"/>
              </w:rPr>
              <w:t>75</w:t>
            </w:r>
          </w:p>
        </w:tc>
        <w:tc>
          <w:tcPr>
            <w:tcW w:w="895" w:type="dxa"/>
          </w:tcPr>
          <w:p>
            <w:pPr>
              <w:pStyle w:val="TableParagraph"/>
              <w:spacing w:before="1"/>
              <w:ind w:right="100"/>
              <w:jc w:val="right"/>
              <w:rPr>
                <w:sz w:val="22"/>
              </w:rPr>
            </w:pPr>
            <w:r>
              <w:rPr>
                <w:sz w:val="22"/>
              </w:rPr>
              <w:t>60</w:t>
            </w:r>
          </w:p>
        </w:tc>
        <w:tc>
          <w:tcPr>
            <w:tcW w:w="1095" w:type="dxa"/>
          </w:tcPr>
          <w:p>
            <w:pPr>
              <w:pStyle w:val="TableParagraph"/>
              <w:spacing w:before="1"/>
              <w:ind w:right="100"/>
              <w:jc w:val="right"/>
              <w:rPr>
                <w:sz w:val="22"/>
              </w:rPr>
            </w:pPr>
            <w:r>
              <w:rPr>
                <w:sz w:val="22"/>
              </w:rPr>
              <w:t>315</w:t>
            </w:r>
          </w:p>
        </w:tc>
      </w:tr>
      <w:tr>
        <w:trPr>
          <w:trHeight w:val="503" w:hRule="atLeast"/>
        </w:trPr>
        <w:tc>
          <w:tcPr>
            <w:tcW w:w="1618" w:type="dxa"/>
          </w:tcPr>
          <w:p>
            <w:pPr>
              <w:pStyle w:val="TableParagraph"/>
              <w:spacing w:before="1"/>
              <w:ind w:left="112"/>
              <w:rPr>
                <w:sz w:val="22"/>
              </w:rPr>
            </w:pPr>
            <w:r>
              <w:rPr>
                <w:sz w:val="22"/>
              </w:rPr>
              <w:t>Other</w:t>
            </w:r>
          </w:p>
        </w:tc>
        <w:tc>
          <w:tcPr>
            <w:tcW w:w="888" w:type="dxa"/>
          </w:tcPr>
          <w:p>
            <w:pPr>
              <w:pStyle w:val="TableParagraph"/>
              <w:spacing w:before="1"/>
              <w:ind w:right="100"/>
              <w:jc w:val="right"/>
              <w:rPr>
                <w:sz w:val="22"/>
              </w:rPr>
            </w:pPr>
            <w:r>
              <w:rPr>
                <w:sz w:val="22"/>
              </w:rPr>
              <w:t>0</w:t>
            </w:r>
          </w:p>
        </w:tc>
        <w:tc>
          <w:tcPr>
            <w:tcW w:w="968" w:type="dxa"/>
          </w:tcPr>
          <w:p>
            <w:pPr>
              <w:pStyle w:val="TableParagraph"/>
              <w:spacing w:before="1"/>
              <w:ind w:right="100"/>
              <w:jc w:val="right"/>
              <w:rPr>
                <w:sz w:val="22"/>
              </w:rPr>
            </w:pPr>
            <w:r>
              <w:rPr>
                <w:sz w:val="22"/>
              </w:rPr>
              <w:t>4,550</w:t>
            </w:r>
          </w:p>
        </w:tc>
        <w:tc>
          <w:tcPr>
            <w:tcW w:w="968" w:type="dxa"/>
          </w:tcPr>
          <w:p>
            <w:pPr>
              <w:pStyle w:val="TableParagraph"/>
              <w:spacing w:before="1"/>
              <w:ind w:right="100"/>
              <w:jc w:val="right"/>
              <w:rPr>
                <w:sz w:val="22"/>
              </w:rPr>
            </w:pPr>
            <w:r>
              <w:rPr>
                <w:sz w:val="22"/>
              </w:rPr>
              <w:t>1,080</w:t>
            </w:r>
          </w:p>
        </w:tc>
        <w:tc>
          <w:tcPr>
            <w:tcW w:w="1135" w:type="dxa"/>
          </w:tcPr>
          <w:p>
            <w:pPr>
              <w:pStyle w:val="TableParagraph"/>
              <w:spacing w:before="1"/>
              <w:ind w:right="100"/>
              <w:jc w:val="right"/>
              <w:rPr>
                <w:sz w:val="22"/>
              </w:rPr>
            </w:pPr>
            <w:r>
              <w:rPr>
                <w:sz w:val="22"/>
              </w:rPr>
              <w:t>5,630</w:t>
            </w:r>
          </w:p>
        </w:tc>
        <w:tc>
          <w:tcPr>
            <w:tcW w:w="888" w:type="dxa"/>
          </w:tcPr>
          <w:p>
            <w:pPr>
              <w:pStyle w:val="TableParagraph"/>
              <w:spacing w:before="1"/>
              <w:ind w:right="100"/>
              <w:jc w:val="right"/>
              <w:rPr>
                <w:sz w:val="22"/>
              </w:rPr>
            </w:pPr>
            <w:r>
              <w:rPr>
                <w:sz w:val="22"/>
              </w:rPr>
              <w:t>155</w:t>
            </w:r>
          </w:p>
        </w:tc>
        <w:tc>
          <w:tcPr>
            <w:tcW w:w="895" w:type="dxa"/>
          </w:tcPr>
          <w:p>
            <w:pPr>
              <w:pStyle w:val="TableParagraph"/>
              <w:spacing w:before="1"/>
              <w:ind w:right="100"/>
              <w:jc w:val="right"/>
              <w:rPr>
                <w:sz w:val="22"/>
              </w:rPr>
            </w:pPr>
            <w:r>
              <w:rPr>
                <w:sz w:val="22"/>
              </w:rPr>
              <w:t>0</w:t>
            </w:r>
          </w:p>
        </w:tc>
        <w:tc>
          <w:tcPr>
            <w:tcW w:w="895" w:type="dxa"/>
          </w:tcPr>
          <w:p>
            <w:pPr>
              <w:pStyle w:val="TableParagraph"/>
              <w:spacing w:before="1"/>
              <w:ind w:right="100"/>
              <w:jc w:val="right"/>
              <w:rPr>
                <w:sz w:val="22"/>
              </w:rPr>
            </w:pPr>
            <w:r>
              <w:rPr>
                <w:sz w:val="22"/>
              </w:rPr>
              <w:t>0</w:t>
            </w:r>
          </w:p>
        </w:tc>
        <w:tc>
          <w:tcPr>
            <w:tcW w:w="1095" w:type="dxa"/>
          </w:tcPr>
          <w:p>
            <w:pPr>
              <w:pStyle w:val="TableParagraph"/>
              <w:spacing w:before="1"/>
              <w:ind w:right="100"/>
              <w:jc w:val="right"/>
              <w:rPr>
                <w:sz w:val="22"/>
              </w:rPr>
            </w:pPr>
            <w:r>
              <w:rPr>
                <w:sz w:val="22"/>
              </w:rPr>
              <w:t>155</w:t>
            </w:r>
          </w:p>
        </w:tc>
      </w:tr>
      <w:tr>
        <w:trPr>
          <w:trHeight w:val="812" w:hRule="atLeast"/>
        </w:trPr>
        <w:tc>
          <w:tcPr>
            <w:tcW w:w="1618" w:type="dxa"/>
          </w:tcPr>
          <w:p>
            <w:pPr>
              <w:pStyle w:val="TableParagraph"/>
              <w:spacing w:line="276" w:lineRule="auto" w:before="1"/>
              <w:ind w:left="112" w:right="253"/>
              <w:rPr>
                <w:sz w:val="22"/>
              </w:rPr>
            </w:pPr>
            <w:r>
              <w:rPr>
                <w:sz w:val="22"/>
              </w:rPr>
              <w:t>Total need by income</w:t>
            </w:r>
          </w:p>
        </w:tc>
        <w:tc>
          <w:tcPr>
            <w:tcW w:w="888" w:type="dxa"/>
          </w:tcPr>
          <w:p>
            <w:pPr>
              <w:pStyle w:val="TableParagraph"/>
              <w:spacing w:before="1"/>
              <w:ind w:right="100"/>
              <w:jc w:val="right"/>
              <w:rPr>
                <w:sz w:val="22"/>
              </w:rPr>
            </w:pPr>
            <w:r>
              <w:rPr>
                <w:sz w:val="22"/>
              </w:rPr>
              <w:t>115</w:t>
            </w:r>
          </w:p>
        </w:tc>
        <w:tc>
          <w:tcPr>
            <w:tcW w:w="968" w:type="dxa"/>
          </w:tcPr>
          <w:p>
            <w:pPr>
              <w:pStyle w:val="TableParagraph"/>
              <w:spacing w:before="1"/>
              <w:ind w:right="100"/>
              <w:jc w:val="right"/>
              <w:rPr>
                <w:sz w:val="22"/>
              </w:rPr>
            </w:pPr>
            <w:r>
              <w:rPr>
                <w:sz w:val="22"/>
              </w:rPr>
              <w:t>4,670</w:t>
            </w:r>
          </w:p>
        </w:tc>
        <w:tc>
          <w:tcPr>
            <w:tcW w:w="968" w:type="dxa"/>
          </w:tcPr>
          <w:p>
            <w:pPr>
              <w:pStyle w:val="TableParagraph"/>
              <w:spacing w:before="1"/>
              <w:ind w:right="100"/>
              <w:jc w:val="right"/>
              <w:rPr>
                <w:sz w:val="22"/>
              </w:rPr>
            </w:pPr>
            <w:r>
              <w:rPr>
                <w:sz w:val="22"/>
              </w:rPr>
              <w:t>1,224</w:t>
            </w:r>
          </w:p>
        </w:tc>
        <w:tc>
          <w:tcPr>
            <w:tcW w:w="1135" w:type="dxa"/>
          </w:tcPr>
          <w:p>
            <w:pPr>
              <w:pStyle w:val="TableParagraph"/>
              <w:spacing w:before="1"/>
              <w:ind w:right="100"/>
              <w:jc w:val="right"/>
              <w:rPr>
                <w:sz w:val="22"/>
              </w:rPr>
            </w:pPr>
            <w:r>
              <w:rPr>
                <w:sz w:val="22"/>
              </w:rPr>
              <w:t>6,009</w:t>
            </w:r>
          </w:p>
        </w:tc>
        <w:tc>
          <w:tcPr>
            <w:tcW w:w="888" w:type="dxa"/>
          </w:tcPr>
          <w:p>
            <w:pPr>
              <w:pStyle w:val="TableParagraph"/>
              <w:spacing w:before="1"/>
              <w:ind w:right="100"/>
              <w:jc w:val="right"/>
              <w:rPr>
                <w:sz w:val="22"/>
              </w:rPr>
            </w:pPr>
            <w:r>
              <w:rPr>
                <w:sz w:val="22"/>
              </w:rPr>
              <w:t>465</w:t>
            </w:r>
          </w:p>
        </w:tc>
        <w:tc>
          <w:tcPr>
            <w:tcW w:w="895" w:type="dxa"/>
          </w:tcPr>
          <w:p>
            <w:pPr>
              <w:pStyle w:val="TableParagraph"/>
              <w:spacing w:before="1"/>
              <w:ind w:right="100"/>
              <w:jc w:val="right"/>
              <w:rPr>
                <w:sz w:val="22"/>
              </w:rPr>
            </w:pPr>
            <w:r>
              <w:rPr>
                <w:sz w:val="22"/>
              </w:rPr>
              <w:t>110</w:t>
            </w:r>
          </w:p>
        </w:tc>
        <w:tc>
          <w:tcPr>
            <w:tcW w:w="895" w:type="dxa"/>
          </w:tcPr>
          <w:p>
            <w:pPr>
              <w:pStyle w:val="TableParagraph"/>
              <w:spacing w:before="1"/>
              <w:ind w:right="100"/>
              <w:jc w:val="right"/>
              <w:rPr>
                <w:sz w:val="22"/>
              </w:rPr>
            </w:pPr>
            <w:r>
              <w:rPr>
                <w:sz w:val="22"/>
              </w:rPr>
              <w:t>75</w:t>
            </w:r>
          </w:p>
        </w:tc>
        <w:tc>
          <w:tcPr>
            <w:tcW w:w="1095" w:type="dxa"/>
          </w:tcPr>
          <w:p>
            <w:pPr>
              <w:pStyle w:val="TableParagraph"/>
              <w:spacing w:before="1"/>
              <w:ind w:right="100"/>
              <w:jc w:val="right"/>
              <w:rPr>
                <w:sz w:val="22"/>
              </w:rPr>
            </w:pPr>
            <w:r>
              <w:rPr>
                <w:sz w:val="22"/>
              </w:rPr>
              <w:t>650</w:t>
            </w:r>
          </w:p>
        </w:tc>
      </w:tr>
    </w:tbl>
    <w:p>
      <w:pPr>
        <w:spacing w:after="0"/>
        <w:jc w:val="right"/>
        <w:rPr>
          <w:sz w:val="22"/>
        </w:rPr>
        <w:sectPr>
          <w:type w:val="continuous"/>
          <w:pgSz w:w="12240" w:h="15840"/>
          <w:pgMar w:top="1340" w:bottom="1520" w:left="1220" w:right="880"/>
        </w:sectPr>
      </w:pPr>
    </w:p>
    <w:p>
      <w:pPr>
        <w:pStyle w:val="BodyText"/>
        <w:spacing w:before="1"/>
        <w:rPr>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335" w:right="0" w:firstLine="0"/>
        <w:jc w:val="left"/>
        <w:rPr>
          <w:rFonts w:ascii="Arial" w:hAnsi="Arial"/>
          <w:b/>
          <w:sz w:val="20"/>
        </w:rPr>
      </w:pPr>
      <w:r>
        <w:rPr/>
        <w:br w:type="column"/>
      </w:r>
      <w:r>
        <w:rPr>
          <w:rFonts w:ascii="Arial" w:hAnsi="Arial"/>
          <w:b/>
          <w:sz w:val="20"/>
        </w:rPr>
        <w:t>Table 10 – Cost Burden &gt; 50%</w:t>
      </w:r>
    </w:p>
    <w:p>
      <w:pPr>
        <w:spacing w:after="0"/>
        <w:jc w:val="left"/>
        <w:rPr>
          <w:rFonts w:ascii="Arial" w:hAnsi="Arial"/>
          <w:sz w:val="20"/>
        </w:rPr>
        <w:sectPr>
          <w:type w:val="continuous"/>
          <w:pgSz w:w="12240" w:h="15840"/>
          <w:pgMar w:top="1340" w:bottom="1520" w:left="1220" w:right="880"/>
          <w:cols w:num="3" w:equalWidth="0">
            <w:col w:w="872" w:space="94"/>
            <w:col w:w="1461" w:space="713"/>
            <w:col w:w="7000"/>
          </w:cols>
        </w:sectPr>
      </w:pPr>
    </w:p>
    <w:p>
      <w:pPr>
        <w:pStyle w:val="BodyText"/>
        <w:rPr>
          <w:rFonts w:ascii="Arial"/>
          <w:b/>
          <w:sz w:val="20"/>
        </w:rPr>
      </w:pPr>
    </w:p>
    <w:p>
      <w:pPr>
        <w:pStyle w:val="BodyText"/>
        <w:spacing w:before="9"/>
        <w:rPr>
          <w:rFonts w:ascii="Arial"/>
          <w:b/>
        </w:rPr>
      </w:pPr>
    </w:p>
    <w:p>
      <w:pPr>
        <w:pStyle w:val="Heading5"/>
        <w:numPr>
          <w:ilvl w:val="0"/>
          <w:numId w:val="5"/>
        </w:numPr>
        <w:tabs>
          <w:tab w:pos="457" w:val="left" w:leader="none"/>
        </w:tabs>
        <w:spacing w:line="240" w:lineRule="auto" w:before="52" w:after="0"/>
        <w:ind w:left="456" w:right="0" w:hanging="237"/>
        <w:jc w:val="left"/>
      </w:pPr>
      <w:r>
        <w:rPr/>
        <w:t>Crowding (More than one person per room)</w:t>
      </w:r>
    </w:p>
    <w:p>
      <w:pPr>
        <w:pStyle w:val="BodyText"/>
        <w:spacing w:before="7" w:after="1"/>
        <w:rPr>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31"/>
        <w:gridCol w:w="713"/>
        <w:gridCol w:w="723"/>
        <w:gridCol w:w="723"/>
        <w:gridCol w:w="784"/>
        <w:gridCol w:w="766"/>
        <w:gridCol w:w="713"/>
        <w:gridCol w:w="723"/>
        <w:gridCol w:w="723"/>
        <w:gridCol w:w="784"/>
        <w:gridCol w:w="767"/>
      </w:tblGrid>
      <w:tr>
        <w:trPr>
          <w:trHeight w:val="239" w:hRule="atLeast"/>
        </w:trPr>
        <w:tc>
          <w:tcPr>
            <w:tcW w:w="1931" w:type="dxa"/>
            <w:vMerge w:val="restart"/>
          </w:tcPr>
          <w:p>
            <w:pPr>
              <w:pStyle w:val="TableParagraph"/>
              <w:rPr>
                <w:rFonts w:ascii="Times New Roman"/>
                <w:sz w:val="20"/>
              </w:rPr>
            </w:pPr>
          </w:p>
        </w:tc>
        <w:tc>
          <w:tcPr>
            <w:tcW w:w="3709" w:type="dxa"/>
            <w:gridSpan w:val="5"/>
          </w:tcPr>
          <w:p>
            <w:pPr>
              <w:pStyle w:val="TableParagraph"/>
              <w:spacing w:line="218" w:lineRule="exact" w:before="1"/>
              <w:ind w:left="1550" w:right="1541"/>
              <w:jc w:val="center"/>
              <w:rPr>
                <w:b/>
                <w:sz w:val="20"/>
              </w:rPr>
            </w:pPr>
            <w:r>
              <w:rPr>
                <w:b/>
                <w:sz w:val="20"/>
              </w:rPr>
              <w:t>Renter</w:t>
            </w:r>
          </w:p>
        </w:tc>
        <w:tc>
          <w:tcPr>
            <w:tcW w:w="3710" w:type="dxa"/>
            <w:gridSpan w:val="5"/>
          </w:tcPr>
          <w:p>
            <w:pPr>
              <w:pStyle w:val="TableParagraph"/>
              <w:spacing w:line="218" w:lineRule="exact" w:before="1"/>
              <w:ind w:left="1549" w:right="1541"/>
              <w:jc w:val="center"/>
              <w:rPr>
                <w:b/>
                <w:sz w:val="20"/>
              </w:rPr>
            </w:pPr>
            <w:r>
              <w:rPr>
                <w:b/>
                <w:sz w:val="20"/>
              </w:rPr>
              <w:t>Owner</w:t>
            </w:r>
          </w:p>
        </w:tc>
      </w:tr>
      <w:tr>
        <w:trPr>
          <w:trHeight w:val="727" w:hRule="atLeast"/>
        </w:trPr>
        <w:tc>
          <w:tcPr>
            <w:tcW w:w="1931" w:type="dxa"/>
            <w:vMerge/>
            <w:tcBorders>
              <w:top w:val="nil"/>
            </w:tcBorders>
          </w:tcPr>
          <w:p>
            <w:pPr>
              <w:rPr>
                <w:sz w:val="2"/>
                <w:szCs w:val="2"/>
              </w:rPr>
            </w:pPr>
          </w:p>
        </w:tc>
        <w:tc>
          <w:tcPr>
            <w:tcW w:w="713" w:type="dxa"/>
          </w:tcPr>
          <w:p>
            <w:pPr>
              <w:pStyle w:val="TableParagraph"/>
              <w:spacing w:before="1"/>
              <w:ind w:left="176" w:right="167"/>
              <w:jc w:val="center"/>
              <w:rPr>
                <w:b/>
                <w:sz w:val="20"/>
              </w:rPr>
            </w:pPr>
            <w:r>
              <w:rPr>
                <w:b/>
                <w:sz w:val="20"/>
              </w:rPr>
              <w:t>0-</w:t>
            </w:r>
          </w:p>
          <w:p>
            <w:pPr>
              <w:pStyle w:val="TableParagraph"/>
              <w:spacing w:line="240" w:lineRule="atLeast"/>
              <w:ind w:left="178" w:right="166"/>
              <w:jc w:val="center"/>
              <w:rPr>
                <w:b/>
                <w:sz w:val="20"/>
              </w:rPr>
            </w:pPr>
            <w:r>
              <w:rPr>
                <w:b/>
                <w:sz w:val="20"/>
              </w:rPr>
              <w:t>30% AMI</w:t>
            </w:r>
          </w:p>
        </w:tc>
        <w:tc>
          <w:tcPr>
            <w:tcW w:w="723" w:type="dxa"/>
          </w:tcPr>
          <w:p>
            <w:pPr>
              <w:pStyle w:val="TableParagraph"/>
              <w:spacing w:before="1"/>
              <w:ind w:left="176"/>
              <w:rPr>
                <w:b/>
                <w:sz w:val="20"/>
              </w:rPr>
            </w:pPr>
            <w:r>
              <w:rPr>
                <w:b/>
                <w:sz w:val="20"/>
              </w:rPr>
              <w:t>&gt;30-</w:t>
            </w:r>
          </w:p>
          <w:p>
            <w:pPr>
              <w:pStyle w:val="TableParagraph"/>
              <w:spacing w:line="240" w:lineRule="atLeast"/>
              <w:ind w:left="184" w:right="154"/>
              <w:rPr>
                <w:b/>
                <w:sz w:val="20"/>
              </w:rPr>
            </w:pPr>
            <w:r>
              <w:rPr>
                <w:b/>
                <w:sz w:val="20"/>
              </w:rPr>
              <w:t>50% AMI</w:t>
            </w:r>
          </w:p>
        </w:tc>
        <w:tc>
          <w:tcPr>
            <w:tcW w:w="723" w:type="dxa"/>
          </w:tcPr>
          <w:p>
            <w:pPr>
              <w:pStyle w:val="TableParagraph"/>
              <w:spacing w:before="1"/>
              <w:ind w:left="176"/>
              <w:rPr>
                <w:b/>
                <w:sz w:val="20"/>
              </w:rPr>
            </w:pPr>
            <w:r>
              <w:rPr>
                <w:b/>
                <w:sz w:val="20"/>
              </w:rPr>
              <w:t>&gt;50-</w:t>
            </w:r>
          </w:p>
          <w:p>
            <w:pPr>
              <w:pStyle w:val="TableParagraph"/>
              <w:spacing w:line="240" w:lineRule="atLeast"/>
              <w:ind w:left="183" w:right="155"/>
              <w:rPr>
                <w:b/>
                <w:sz w:val="20"/>
              </w:rPr>
            </w:pPr>
            <w:r>
              <w:rPr>
                <w:b/>
                <w:sz w:val="20"/>
              </w:rPr>
              <w:t>80% AMI</w:t>
            </w:r>
          </w:p>
        </w:tc>
        <w:tc>
          <w:tcPr>
            <w:tcW w:w="784" w:type="dxa"/>
          </w:tcPr>
          <w:p>
            <w:pPr>
              <w:pStyle w:val="TableParagraph"/>
              <w:spacing w:before="1"/>
              <w:ind w:left="207"/>
              <w:rPr>
                <w:b/>
                <w:sz w:val="20"/>
              </w:rPr>
            </w:pPr>
            <w:r>
              <w:rPr>
                <w:b/>
                <w:sz w:val="20"/>
              </w:rPr>
              <w:t>&gt;80-</w:t>
            </w:r>
          </w:p>
          <w:p>
            <w:pPr>
              <w:pStyle w:val="TableParagraph"/>
              <w:spacing w:line="240" w:lineRule="atLeast"/>
              <w:ind w:left="214" w:right="136" w:hanging="51"/>
              <w:rPr>
                <w:b/>
                <w:sz w:val="20"/>
              </w:rPr>
            </w:pPr>
            <w:r>
              <w:rPr>
                <w:b/>
                <w:sz w:val="20"/>
              </w:rPr>
              <w:t>100% AMI</w:t>
            </w:r>
          </w:p>
        </w:tc>
        <w:tc>
          <w:tcPr>
            <w:tcW w:w="766" w:type="dxa"/>
          </w:tcPr>
          <w:p>
            <w:pPr>
              <w:pStyle w:val="TableParagraph"/>
              <w:spacing w:before="1"/>
              <w:ind w:right="157"/>
              <w:jc w:val="right"/>
              <w:rPr>
                <w:b/>
                <w:sz w:val="20"/>
              </w:rPr>
            </w:pPr>
            <w:r>
              <w:rPr>
                <w:b/>
                <w:sz w:val="20"/>
              </w:rPr>
              <w:t>Total</w:t>
            </w:r>
          </w:p>
        </w:tc>
        <w:tc>
          <w:tcPr>
            <w:tcW w:w="713" w:type="dxa"/>
          </w:tcPr>
          <w:p>
            <w:pPr>
              <w:pStyle w:val="TableParagraph"/>
              <w:spacing w:before="1"/>
              <w:ind w:left="175" w:right="167"/>
              <w:jc w:val="center"/>
              <w:rPr>
                <w:b/>
                <w:sz w:val="20"/>
              </w:rPr>
            </w:pPr>
            <w:r>
              <w:rPr>
                <w:b/>
                <w:sz w:val="20"/>
              </w:rPr>
              <w:t>0-</w:t>
            </w:r>
          </w:p>
          <w:p>
            <w:pPr>
              <w:pStyle w:val="TableParagraph"/>
              <w:spacing w:line="240" w:lineRule="atLeast"/>
              <w:ind w:left="177" w:right="167"/>
              <w:jc w:val="center"/>
              <w:rPr>
                <w:b/>
                <w:sz w:val="20"/>
              </w:rPr>
            </w:pPr>
            <w:r>
              <w:rPr>
                <w:b/>
                <w:sz w:val="20"/>
              </w:rPr>
              <w:t>30% AMI</w:t>
            </w:r>
          </w:p>
        </w:tc>
        <w:tc>
          <w:tcPr>
            <w:tcW w:w="723" w:type="dxa"/>
          </w:tcPr>
          <w:p>
            <w:pPr>
              <w:pStyle w:val="TableParagraph"/>
              <w:spacing w:before="1"/>
              <w:ind w:left="176"/>
              <w:rPr>
                <w:b/>
                <w:sz w:val="20"/>
              </w:rPr>
            </w:pPr>
            <w:r>
              <w:rPr>
                <w:b/>
                <w:sz w:val="20"/>
              </w:rPr>
              <w:t>&gt;30-</w:t>
            </w:r>
          </w:p>
          <w:p>
            <w:pPr>
              <w:pStyle w:val="TableParagraph"/>
              <w:spacing w:line="240" w:lineRule="atLeast"/>
              <w:ind w:left="183" w:right="155"/>
              <w:rPr>
                <w:b/>
                <w:sz w:val="20"/>
              </w:rPr>
            </w:pPr>
            <w:r>
              <w:rPr>
                <w:b/>
                <w:sz w:val="20"/>
              </w:rPr>
              <w:t>50% AMI</w:t>
            </w:r>
          </w:p>
        </w:tc>
        <w:tc>
          <w:tcPr>
            <w:tcW w:w="723" w:type="dxa"/>
          </w:tcPr>
          <w:p>
            <w:pPr>
              <w:pStyle w:val="TableParagraph"/>
              <w:spacing w:before="1"/>
              <w:ind w:left="176"/>
              <w:rPr>
                <w:b/>
                <w:sz w:val="20"/>
              </w:rPr>
            </w:pPr>
            <w:r>
              <w:rPr>
                <w:b/>
                <w:sz w:val="20"/>
              </w:rPr>
              <w:t>&gt;50-</w:t>
            </w:r>
          </w:p>
          <w:p>
            <w:pPr>
              <w:pStyle w:val="TableParagraph"/>
              <w:spacing w:line="240" w:lineRule="atLeast"/>
              <w:ind w:left="183" w:right="155"/>
              <w:rPr>
                <w:b/>
                <w:sz w:val="20"/>
              </w:rPr>
            </w:pPr>
            <w:r>
              <w:rPr>
                <w:b/>
                <w:sz w:val="20"/>
              </w:rPr>
              <w:t>80% AMI</w:t>
            </w:r>
          </w:p>
        </w:tc>
        <w:tc>
          <w:tcPr>
            <w:tcW w:w="784" w:type="dxa"/>
          </w:tcPr>
          <w:p>
            <w:pPr>
              <w:pStyle w:val="TableParagraph"/>
              <w:spacing w:before="1"/>
              <w:ind w:left="206"/>
              <w:rPr>
                <w:b/>
                <w:sz w:val="20"/>
              </w:rPr>
            </w:pPr>
            <w:r>
              <w:rPr>
                <w:b/>
                <w:sz w:val="20"/>
              </w:rPr>
              <w:t>&gt;80-</w:t>
            </w:r>
          </w:p>
          <w:p>
            <w:pPr>
              <w:pStyle w:val="TableParagraph"/>
              <w:spacing w:line="240" w:lineRule="atLeast"/>
              <w:ind w:left="213" w:right="137" w:hanging="51"/>
              <w:rPr>
                <w:b/>
                <w:sz w:val="20"/>
              </w:rPr>
            </w:pPr>
            <w:r>
              <w:rPr>
                <w:b/>
                <w:sz w:val="20"/>
              </w:rPr>
              <w:t>100% AMI</w:t>
            </w:r>
          </w:p>
        </w:tc>
        <w:tc>
          <w:tcPr>
            <w:tcW w:w="767" w:type="dxa"/>
          </w:tcPr>
          <w:p>
            <w:pPr>
              <w:pStyle w:val="TableParagraph"/>
              <w:spacing w:before="1"/>
              <w:ind w:right="158"/>
              <w:jc w:val="right"/>
              <w:rPr>
                <w:b/>
                <w:sz w:val="20"/>
              </w:rPr>
            </w:pPr>
            <w:r>
              <w:rPr>
                <w:b/>
                <w:sz w:val="20"/>
              </w:rPr>
              <w:t>Total</w:t>
            </w:r>
          </w:p>
        </w:tc>
      </w:tr>
      <w:tr>
        <w:trPr>
          <w:trHeight w:val="257" w:hRule="atLeast"/>
        </w:trPr>
        <w:tc>
          <w:tcPr>
            <w:tcW w:w="9350" w:type="dxa"/>
            <w:gridSpan w:val="11"/>
          </w:tcPr>
          <w:p>
            <w:pPr>
              <w:pStyle w:val="TableParagraph"/>
              <w:spacing w:line="238" w:lineRule="exact"/>
              <w:ind w:left="112"/>
              <w:rPr>
                <w:sz w:val="22"/>
              </w:rPr>
            </w:pPr>
            <w:r>
              <w:rPr>
                <w:sz w:val="22"/>
              </w:rPr>
              <w:t>NUMBER OF HOUSEHOLDS</w:t>
            </w:r>
          </w:p>
        </w:tc>
      </w:tr>
      <w:tr>
        <w:trPr>
          <w:trHeight w:val="812" w:hRule="atLeast"/>
        </w:trPr>
        <w:tc>
          <w:tcPr>
            <w:tcW w:w="1931" w:type="dxa"/>
          </w:tcPr>
          <w:p>
            <w:pPr>
              <w:pStyle w:val="TableParagraph"/>
              <w:spacing w:line="276" w:lineRule="auto" w:before="1"/>
              <w:ind w:left="112" w:right="654"/>
              <w:rPr>
                <w:sz w:val="22"/>
              </w:rPr>
            </w:pPr>
            <w:r>
              <w:rPr>
                <w:sz w:val="22"/>
              </w:rPr>
              <w:t>Single family households</w:t>
            </w:r>
          </w:p>
        </w:tc>
        <w:tc>
          <w:tcPr>
            <w:tcW w:w="713" w:type="dxa"/>
          </w:tcPr>
          <w:p>
            <w:pPr>
              <w:pStyle w:val="TableParagraph"/>
              <w:spacing w:before="5"/>
              <w:rPr>
                <w:sz w:val="25"/>
              </w:rPr>
            </w:pPr>
          </w:p>
          <w:p>
            <w:pPr>
              <w:pStyle w:val="TableParagraph"/>
              <w:ind w:right="100"/>
              <w:jc w:val="right"/>
              <w:rPr>
                <w:sz w:val="22"/>
              </w:rPr>
            </w:pPr>
            <w:r>
              <w:rPr>
                <w:sz w:val="22"/>
              </w:rPr>
              <w:t>195</w:t>
            </w:r>
          </w:p>
        </w:tc>
        <w:tc>
          <w:tcPr>
            <w:tcW w:w="723" w:type="dxa"/>
          </w:tcPr>
          <w:p>
            <w:pPr>
              <w:pStyle w:val="TableParagraph"/>
              <w:spacing w:before="5"/>
              <w:rPr>
                <w:sz w:val="25"/>
              </w:rPr>
            </w:pPr>
          </w:p>
          <w:p>
            <w:pPr>
              <w:pStyle w:val="TableParagraph"/>
              <w:ind w:right="100"/>
              <w:jc w:val="right"/>
              <w:rPr>
                <w:sz w:val="22"/>
              </w:rPr>
            </w:pPr>
            <w:r>
              <w:rPr>
                <w:sz w:val="22"/>
              </w:rPr>
              <w:t>25</w:t>
            </w:r>
          </w:p>
        </w:tc>
        <w:tc>
          <w:tcPr>
            <w:tcW w:w="723" w:type="dxa"/>
          </w:tcPr>
          <w:p>
            <w:pPr>
              <w:pStyle w:val="TableParagraph"/>
              <w:spacing w:before="5"/>
              <w:rPr>
                <w:sz w:val="25"/>
              </w:rPr>
            </w:pPr>
          </w:p>
          <w:p>
            <w:pPr>
              <w:pStyle w:val="TableParagraph"/>
              <w:ind w:right="100"/>
              <w:jc w:val="right"/>
              <w:rPr>
                <w:sz w:val="22"/>
              </w:rPr>
            </w:pPr>
            <w:r>
              <w:rPr>
                <w:sz w:val="22"/>
              </w:rPr>
              <w:t>0</w:t>
            </w:r>
          </w:p>
        </w:tc>
        <w:tc>
          <w:tcPr>
            <w:tcW w:w="784" w:type="dxa"/>
          </w:tcPr>
          <w:p>
            <w:pPr>
              <w:pStyle w:val="TableParagraph"/>
              <w:spacing w:before="5"/>
              <w:rPr>
                <w:sz w:val="25"/>
              </w:rPr>
            </w:pPr>
          </w:p>
          <w:p>
            <w:pPr>
              <w:pStyle w:val="TableParagraph"/>
              <w:ind w:right="101"/>
              <w:jc w:val="right"/>
              <w:rPr>
                <w:sz w:val="22"/>
              </w:rPr>
            </w:pPr>
            <w:r>
              <w:rPr>
                <w:sz w:val="22"/>
              </w:rPr>
              <w:t>45</w:t>
            </w:r>
          </w:p>
        </w:tc>
        <w:tc>
          <w:tcPr>
            <w:tcW w:w="766" w:type="dxa"/>
          </w:tcPr>
          <w:p>
            <w:pPr>
              <w:pStyle w:val="TableParagraph"/>
              <w:spacing w:before="5"/>
              <w:rPr>
                <w:sz w:val="25"/>
              </w:rPr>
            </w:pPr>
          </w:p>
          <w:p>
            <w:pPr>
              <w:pStyle w:val="TableParagraph"/>
              <w:ind w:right="101"/>
              <w:jc w:val="right"/>
              <w:rPr>
                <w:sz w:val="22"/>
              </w:rPr>
            </w:pPr>
            <w:r>
              <w:rPr>
                <w:sz w:val="22"/>
              </w:rPr>
              <w:t>265</w:t>
            </w:r>
          </w:p>
        </w:tc>
        <w:tc>
          <w:tcPr>
            <w:tcW w:w="713" w:type="dxa"/>
          </w:tcPr>
          <w:p>
            <w:pPr>
              <w:pStyle w:val="TableParagraph"/>
              <w:spacing w:before="5"/>
              <w:rPr>
                <w:sz w:val="25"/>
              </w:rPr>
            </w:pPr>
          </w:p>
          <w:p>
            <w:pPr>
              <w:pStyle w:val="TableParagraph"/>
              <w:ind w:right="101"/>
              <w:jc w:val="right"/>
              <w:rPr>
                <w:sz w:val="22"/>
              </w:rPr>
            </w:pPr>
            <w:r>
              <w:rPr>
                <w:sz w:val="22"/>
              </w:rPr>
              <w:t>20</w:t>
            </w:r>
          </w:p>
        </w:tc>
        <w:tc>
          <w:tcPr>
            <w:tcW w:w="723" w:type="dxa"/>
          </w:tcPr>
          <w:p>
            <w:pPr>
              <w:pStyle w:val="TableParagraph"/>
              <w:spacing w:before="5"/>
              <w:rPr>
                <w:sz w:val="25"/>
              </w:rPr>
            </w:pPr>
          </w:p>
          <w:p>
            <w:pPr>
              <w:pStyle w:val="TableParagraph"/>
              <w:ind w:right="101"/>
              <w:jc w:val="right"/>
              <w:rPr>
                <w:sz w:val="22"/>
              </w:rPr>
            </w:pPr>
            <w:r>
              <w:rPr>
                <w:sz w:val="22"/>
              </w:rPr>
              <w:t>0</w:t>
            </w:r>
          </w:p>
        </w:tc>
        <w:tc>
          <w:tcPr>
            <w:tcW w:w="723" w:type="dxa"/>
          </w:tcPr>
          <w:p>
            <w:pPr>
              <w:pStyle w:val="TableParagraph"/>
              <w:spacing w:before="5"/>
              <w:rPr>
                <w:sz w:val="25"/>
              </w:rPr>
            </w:pPr>
          </w:p>
          <w:p>
            <w:pPr>
              <w:pStyle w:val="TableParagraph"/>
              <w:ind w:right="101"/>
              <w:jc w:val="right"/>
              <w:rPr>
                <w:sz w:val="22"/>
              </w:rPr>
            </w:pPr>
            <w:r>
              <w:rPr>
                <w:sz w:val="22"/>
              </w:rPr>
              <w:t>24</w:t>
            </w:r>
          </w:p>
        </w:tc>
        <w:tc>
          <w:tcPr>
            <w:tcW w:w="784" w:type="dxa"/>
          </w:tcPr>
          <w:p>
            <w:pPr>
              <w:pStyle w:val="TableParagraph"/>
              <w:spacing w:before="5"/>
              <w:rPr>
                <w:sz w:val="25"/>
              </w:rPr>
            </w:pPr>
          </w:p>
          <w:p>
            <w:pPr>
              <w:pStyle w:val="TableParagraph"/>
              <w:ind w:right="101"/>
              <w:jc w:val="right"/>
              <w:rPr>
                <w:sz w:val="22"/>
              </w:rPr>
            </w:pPr>
            <w:r>
              <w:rPr>
                <w:sz w:val="22"/>
              </w:rPr>
              <w:t>10</w:t>
            </w:r>
          </w:p>
        </w:tc>
        <w:tc>
          <w:tcPr>
            <w:tcW w:w="767" w:type="dxa"/>
          </w:tcPr>
          <w:p>
            <w:pPr>
              <w:pStyle w:val="TableParagraph"/>
              <w:spacing w:before="5"/>
              <w:rPr>
                <w:sz w:val="25"/>
              </w:rPr>
            </w:pPr>
          </w:p>
          <w:p>
            <w:pPr>
              <w:pStyle w:val="TableParagraph"/>
              <w:ind w:right="101"/>
              <w:jc w:val="right"/>
              <w:rPr>
                <w:sz w:val="22"/>
              </w:rPr>
            </w:pPr>
            <w:r>
              <w:rPr>
                <w:sz w:val="22"/>
              </w:rPr>
              <w:t>54</w:t>
            </w:r>
          </w:p>
        </w:tc>
      </w:tr>
      <w:tr>
        <w:trPr>
          <w:trHeight w:val="1121" w:hRule="atLeast"/>
        </w:trPr>
        <w:tc>
          <w:tcPr>
            <w:tcW w:w="1931" w:type="dxa"/>
          </w:tcPr>
          <w:p>
            <w:pPr>
              <w:pStyle w:val="TableParagraph"/>
              <w:spacing w:line="276" w:lineRule="auto" w:before="1"/>
              <w:ind w:left="112" w:right="313"/>
              <w:rPr>
                <w:sz w:val="22"/>
              </w:rPr>
            </w:pPr>
            <w:r>
              <w:rPr>
                <w:sz w:val="22"/>
              </w:rPr>
              <w:t>Multiple, unrelated family households</w:t>
            </w:r>
          </w:p>
        </w:tc>
        <w:tc>
          <w:tcPr>
            <w:tcW w:w="713"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0</w:t>
            </w:r>
          </w:p>
        </w:tc>
        <w:tc>
          <w:tcPr>
            <w:tcW w:w="723"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0</w:t>
            </w:r>
          </w:p>
        </w:tc>
        <w:tc>
          <w:tcPr>
            <w:tcW w:w="723" w:type="dxa"/>
          </w:tcPr>
          <w:p>
            <w:pPr>
              <w:pStyle w:val="TableParagraph"/>
              <w:rPr>
                <w:sz w:val="22"/>
              </w:rPr>
            </w:pPr>
          </w:p>
          <w:p>
            <w:pPr>
              <w:pStyle w:val="TableParagraph"/>
              <w:spacing w:before="8"/>
              <w:rPr>
                <w:sz w:val="28"/>
              </w:rPr>
            </w:pPr>
          </w:p>
          <w:p>
            <w:pPr>
              <w:pStyle w:val="TableParagraph"/>
              <w:spacing w:before="1"/>
              <w:ind w:right="100"/>
              <w:jc w:val="right"/>
              <w:rPr>
                <w:sz w:val="22"/>
              </w:rPr>
            </w:pPr>
            <w:r>
              <w:rPr>
                <w:sz w:val="22"/>
              </w:rPr>
              <w:t>0</w:t>
            </w:r>
          </w:p>
        </w:tc>
        <w:tc>
          <w:tcPr>
            <w:tcW w:w="784"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66"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13"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23"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23"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84"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c>
          <w:tcPr>
            <w:tcW w:w="767" w:type="dxa"/>
          </w:tcPr>
          <w:p>
            <w:pPr>
              <w:pStyle w:val="TableParagraph"/>
              <w:rPr>
                <w:sz w:val="22"/>
              </w:rPr>
            </w:pPr>
          </w:p>
          <w:p>
            <w:pPr>
              <w:pStyle w:val="TableParagraph"/>
              <w:spacing w:before="8"/>
              <w:rPr>
                <w:sz w:val="28"/>
              </w:rPr>
            </w:pPr>
          </w:p>
          <w:p>
            <w:pPr>
              <w:pStyle w:val="TableParagraph"/>
              <w:spacing w:before="1"/>
              <w:ind w:right="101"/>
              <w:jc w:val="right"/>
              <w:rPr>
                <w:sz w:val="22"/>
              </w:rPr>
            </w:pPr>
            <w:r>
              <w:rPr>
                <w:sz w:val="22"/>
              </w:rPr>
              <w:t>0</w:t>
            </w:r>
          </w:p>
        </w:tc>
      </w:tr>
      <w:tr>
        <w:trPr>
          <w:trHeight w:val="812" w:hRule="atLeast"/>
        </w:trPr>
        <w:tc>
          <w:tcPr>
            <w:tcW w:w="1931" w:type="dxa"/>
          </w:tcPr>
          <w:p>
            <w:pPr>
              <w:pStyle w:val="TableParagraph"/>
              <w:spacing w:line="276" w:lineRule="auto" w:before="1"/>
              <w:ind w:left="112" w:right="194"/>
              <w:rPr>
                <w:sz w:val="22"/>
              </w:rPr>
            </w:pPr>
            <w:r>
              <w:rPr>
                <w:sz w:val="22"/>
              </w:rPr>
              <w:t>Other, non-family households</w:t>
            </w:r>
          </w:p>
        </w:tc>
        <w:tc>
          <w:tcPr>
            <w:tcW w:w="713" w:type="dxa"/>
          </w:tcPr>
          <w:p>
            <w:pPr>
              <w:pStyle w:val="TableParagraph"/>
              <w:spacing w:before="5"/>
              <w:rPr>
                <w:sz w:val="25"/>
              </w:rPr>
            </w:pPr>
          </w:p>
          <w:p>
            <w:pPr>
              <w:pStyle w:val="TableParagraph"/>
              <w:ind w:right="100"/>
              <w:jc w:val="right"/>
              <w:rPr>
                <w:sz w:val="22"/>
              </w:rPr>
            </w:pPr>
            <w:r>
              <w:rPr>
                <w:sz w:val="22"/>
              </w:rPr>
              <w:t>10</w:t>
            </w:r>
          </w:p>
        </w:tc>
        <w:tc>
          <w:tcPr>
            <w:tcW w:w="723" w:type="dxa"/>
          </w:tcPr>
          <w:p>
            <w:pPr>
              <w:pStyle w:val="TableParagraph"/>
              <w:spacing w:before="5"/>
              <w:rPr>
                <w:sz w:val="25"/>
              </w:rPr>
            </w:pPr>
          </w:p>
          <w:p>
            <w:pPr>
              <w:pStyle w:val="TableParagraph"/>
              <w:ind w:right="100"/>
              <w:jc w:val="right"/>
              <w:rPr>
                <w:sz w:val="22"/>
              </w:rPr>
            </w:pPr>
            <w:r>
              <w:rPr>
                <w:sz w:val="22"/>
              </w:rPr>
              <w:t>0</w:t>
            </w:r>
          </w:p>
        </w:tc>
        <w:tc>
          <w:tcPr>
            <w:tcW w:w="723" w:type="dxa"/>
          </w:tcPr>
          <w:p>
            <w:pPr>
              <w:pStyle w:val="TableParagraph"/>
              <w:spacing w:before="5"/>
              <w:rPr>
                <w:sz w:val="25"/>
              </w:rPr>
            </w:pPr>
          </w:p>
          <w:p>
            <w:pPr>
              <w:pStyle w:val="TableParagraph"/>
              <w:ind w:right="100"/>
              <w:jc w:val="right"/>
              <w:rPr>
                <w:sz w:val="22"/>
              </w:rPr>
            </w:pPr>
            <w:r>
              <w:rPr>
                <w:sz w:val="22"/>
              </w:rPr>
              <w:t>55</w:t>
            </w:r>
          </w:p>
        </w:tc>
        <w:tc>
          <w:tcPr>
            <w:tcW w:w="784" w:type="dxa"/>
          </w:tcPr>
          <w:p>
            <w:pPr>
              <w:pStyle w:val="TableParagraph"/>
              <w:spacing w:before="5"/>
              <w:rPr>
                <w:sz w:val="25"/>
              </w:rPr>
            </w:pPr>
          </w:p>
          <w:p>
            <w:pPr>
              <w:pStyle w:val="TableParagraph"/>
              <w:ind w:right="101"/>
              <w:jc w:val="right"/>
              <w:rPr>
                <w:sz w:val="22"/>
              </w:rPr>
            </w:pPr>
            <w:r>
              <w:rPr>
                <w:sz w:val="22"/>
              </w:rPr>
              <w:t>0</w:t>
            </w:r>
          </w:p>
        </w:tc>
        <w:tc>
          <w:tcPr>
            <w:tcW w:w="766" w:type="dxa"/>
          </w:tcPr>
          <w:p>
            <w:pPr>
              <w:pStyle w:val="TableParagraph"/>
              <w:spacing w:before="5"/>
              <w:rPr>
                <w:sz w:val="25"/>
              </w:rPr>
            </w:pPr>
          </w:p>
          <w:p>
            <w:pPr>
              <w:pStyle w:val="TableParagraph"/>
              <w:ind w:right="101"/>
              <w:jc w:val="right"/>
              <w:rPr>
                <w:sz w:val="22"/>
              </w:rPr>
            </w:pPr>
            <w:r>
              <w:rPr>
                <w:sz w:val="22"/>
              </w:rPr>
              <w:t>65</w:t>
            </w:r>
          </w:p>
        </w:tc>
        <w:tc>
          <w:tcPr>
            <w:tcW w:w="713" w:type="dxa"/>
          </w:tcPr>
          <w:p>
            <w:pPr>
              <w:pStyle w:val="TableParagraph"/>
              <w:spacing w:before="5"/>
              <w:rPr>
                <w:sz w:val="25"/>
              </w:rPr>
            </w:pPr>
          </w:p>
          <w:p>
            <w:pPr>
              <w:pStyle w:val="TableParagraph"/>
              <w:ind w:right="101"/>
              <w:jc w:val="right"/>
              <w:rPr>
                <w:sz w:val="22"/>
              </w:rPr>
            </w:pPr>
            <w:r>
              <w:rPr>
                <w:sz w:val="22"/>
              </w:rPr>
              <w:t>0</w:t>
            </w:r>
          </w:p>
        </w:tc>
        <w:tc>
          <w:tcPr>
            <w:tcW w:w="723" w:type="dxa"/>
          </w:tcPr>
          <w:p>
            <w:pPr>
              <w:pStyle w:val="TableParagraph"/>
              <w:spacing w:before="5"/>
              <w:rPr>
                <w:sz w:val="25"/>
              </w:rPr>
            </w:pPr>
          </w:p>
          <w:p>
            <w:pPr>
              <w:pStyle w:val="TableParagraph"/>
              <w:ind w:right="101"/>
              <w:jc w:val="right"/>
              <w:rPr>
                <w:sz w:val="22"/>
              </w:rPr>
            </w:pPr>
            <w:r>
              <w:rPr>
                <w:sz w:val="22"/>
              </w:rPr>
              <w:t>0</w:t>
            </w:r>
          </w:p>
        </w:tc>
        <w:tc>
          <w:tcPr>
            <w:tcW w:w="723" w:type="dxa"/>
          </w:tcPr>
          <w:p>
            <w:pPr>
              <w:pStyle w:val="TableParagraph"/>
              <w:spacing w:before="5"/>
              <w:rPr>
                <w:sz w:val="25"/>
              </w:rPr>
            </w:pPr>
          </w:p>
          <w:p>
            <w:pPr>
              <w:pStyle w:val="TableParagraph"/>
              <w:ind w:right="101"/>
              <w:jc w:val="right"/>
              <w:rPr>
                <w:sz w:val="22"/>
              </w:rPr>
            </w:pPr>
            <w:r>
              <w:rPr>
                <w:sz w:val="22"/>
              </w:rPr>
              <w:t>0</w:t>
            </w:r>
          </w:p>
        </w:tc>
        <w:tc>
          <w:tcPr>
            <w:tcW w:w="784" w:type="dxa"/>
          </w:tcPr>
          <w:p>
            <w:pPr>
              <w:pStyle w:val="TableParagraph"/>
              <w:spacing w:before="5"/>
              <w:rPr>
                <w:sz w:val="25"/>
              </w:rPr>
            </w:pPr>
          </w:p>
          <w:p>
            <w:pPr>
              <w:pStyle w:val="TableParagraph"/>
              <w:ind w:right="101"/>
              <w:jc w:val="right"/>
              <w:rPr>
                <w:sz w:val="22"/>
              </w:rPr>
            </w:pPr>
            <w:r>
              <w:rPr>
                <w:sz w:val="22"/>
              </w:rPr>
              <w:t>0</w:t>
            </w:r>
          </w:p>
        </w:tc>
        <w:tc>
          <w:tcPr>
            <w:tcW w:w="767" w:type="dxa"/>
          </w:tcPr>
          <w:p>
            <w:pPr>
              <w:pStyle w:val="TableParagraph"/>
              <w:spacing w:before="5"/>
              <w:rPr>
                <w:sz w:val="25"/>
              </w:rPr>
            </w:pPr>
          </w:p>
          <w:p>
            <w:pPr>
              <w:pStyle w:val="TableParagraph"/>
              <w:ind w:right="101"/>
              <w:jc w:val="right"/>
              <w:rPr>
                <w:sz w:val="22"/>
              </w:rPr>
            </w:pPr>
            <w:r>
              <w:rPr>
                <w:sz w:val="22"/>
              </w:rPr>
              <w:t>0</w:t>
            </w:r>
          </w:p>
        </w:tc>
      </w:tr>
      <w:tr>
        <w:trPr>
          <w:trHeight w:val="812" w:hRule="atLeast"/>
        </w:trPr>
        <w:tc>
          <w:tcPr>
            <w:tcW w:w="1931" w:type="dxa"/>
          </w:tcPr>
          <w:p>
            <w:pPr>
              <w:pStyle w:val="TableParagraph"/>
              <w:spacing w:line="276" w:lineRule="auto" w:before="1"/>
              <w:ind w:left="112" w:right="566"/>
              <w:rPr>
                <w:sz w:val="22"/>
              </w:rPr>
            </w:pPr>
            <w:r>
              <w:rPr>
                <w:sz w:val="22"/>
              </w:rPr>
              <w:t>Total need by income</w:t>
            </w:r>
          </w:p>
        </w:tc>
        <w:tc>
          <w:tcPr>
            <w:tcW w:w="713" w:type="dxa"/>
          </w:tcPr>
          <w:p>
            <w:pPr>
              <w:pStyle w:val="TableParagraph"/>
              <w:spacing w:before="1"/>
              <w:ind w:right="100"/>
              <w:jc w:val="right"/>
              <w:rPr>
                <w:sz w:val="22"/>
              </w:rPr>
            </w:pPr>
            <w:r>
              <w:rPr>
                <w:sz w:val="22"/>
              </w:rPr>
              <w:t>205</w:t>
            </w:r>
          </w:p>
        </w:tc>
        <w:tc>
          <w:tcPr>
            <w:tcW w:w="723" w:type="dxa"/>
          </w:tcPr>
          <w:p>
            <w:pPr>
              <w:pStyle w:val="TableParagraph"/>
              <w:spacing w:before="1"/>
              <w:ind w:right="100"/>
              <w:jc w:val="right"/>
              <w:rPr>
                <w:sz w:val="22"/>
              </w:rPr>
            </w:pPr>
            <w:r>
              <w:rPr>
                <w:sz w:val="22"/>
              </w:rPr>
              <w:t>25</w:t>
            </w:r>
          </w:p>
        </w:tc>
        <w:tc>
          <w:tcPr>
            <w:tcW w:w="723" w:type="dxa"/>
          </w:tcPr>
          <w:p>
            <w:pPr>
              <w:pStyle w:val="TableParagraph"/>
              <w:spacing w:before="1"/>
              <w:ind w:right="100"/>
              <w:jc w:val="right"/>
              <w:rPr>
                <w:sz w:val="22"/>
              </w:rPr>
            </w:pPr>
            <w:r>
              <w:rPr>
                <w:sz w:val="22"/>
              </w:rPr>
              <w:t>55</w:t>
            </w:r>
          </w:p>
        </w:tc>
        <w:tc>
          <w:tcPr>
            <w:tcW w:w="784" w:type="dxa"/>
          </w:tcPr>
          <w:p>
            <w:pPr>
              <w:pStyle w:val="TableParagraph"/>
              <w:spacing w:before="1"/>
              <w:ind w:right="101"/>
              <w:jc w:val="right"/>
              <w:rPr>
                <w:sz w:val="22"/>
              </w:rPr>
            </w:pPr>
            <w:r>
              <w:rPr>
                <w:sz w:val="22"/>
              </w:rPr>
              <w:t>45</w:t>
            </w:r>
          </w:p>
        </w:tc>
        <w:tc>
          <w:tcPr>
            <w:tcW w:w="766" w:type="dxa"/>
          </w:tcPr>
          <w:p>
            <w:pPr>
              <w:pStyle w:val="TableParagraph"/>
              <w:spacing w:before="1"/>
              <w:ind w:right="101"/>
              <w:jc w:val="right"/>
              <w:rPr>
                <w:sz w:val="22"/>
              </w:rPr>
            </w:pPr>
            <w:r>
              <w:rPr>
                <w:sz w:val="22"/>
              </w:rPr>
              <w:t>330</w:t>
            </w:r>
          </w:p>
        </w:tc>
        <w:tc>
          <w:tcPr>
            <w:tcW w:w="713" w:type="dxa"/>
          </w:tcPr>
          <w:p>
            <w:pPr>
              <w:pStyle w:val="TableParagraph"/>
              <w:spacing w:before="1"/>
              <w:ind w:right="101"/>
              <w:jc w:val="right"/>
              <w:rPr>
                <w:sz w:val="22"/>
              </w:rPr>
            </w:pPr>
            <w:r>
              <w:rPr>
                <w:sz w:val="22"/>
              </w:rPr>
              <w:t>20</w:t>
            </w:r>
          </w:p>
        </w:tc>
        <w:tc>
          <w:tcPr>
            <w:tcW w:w="723" w:type="dxa"/>
          </w:tcPr>
          <w:p>
            <w:pPr>
              <w:pStyle w:val="TableParagraph"/>
              <w:spacing w:before="1"/>
              <w:ind w:right="101"/>
              <w:jc w:val="right"/>
              <w:rPr>
                <w:sz w:val="22"/>
              </w:rPr>
            </w:pPr>
            <w:r>
              <w:rPr>
                <w:sz w:val="22"/>
              </w:rPr>
              <w:t>0</w:t>
            </w:r>
          </w:p>
        </w:tc>
        <w:tc>
          <w:tcPr>
            <w:tcW w:w="723" w:type="dxa"/>
          </w:tcPr>
          <w:p>
            <w:pPr>
              <w:pStyle w:val="TableParagraph"/>
              <w:spacing w:before="1"/>
              <w:ind w:right="101"/>
              <w:jc w:val="right"/>
              <w:rPr>
                <w:sz w:val="22"/>
              </w:rPr>
            </w:pPr>
            <w:r>
              <w:rPr>
                <w:sz w:val="22"/>
              </w:rPr>
              <w:t>24</w:t>
            </w:r>
          </w:p>
        </w:tc>
        <w:tc>
          <w:tcPr>
            <w:tcW w:w="784" w:type="dxa"/>
          </w:tcPr>
          <w:p>
            <w:pPr>
              <w:pStyle w:val="TableParagraph"/>
              <w:spacing w:before="1"/>
              <w:ind w:right="101"/>
              <w:jc w:val="right"/>
              <w:rPr>
                <w:sz w:val="22"/>
              </w:rPr>
            </w:pPr>
            <w:r>
              <w:rPr>
                <w:sz w:val="22"/>
              </w:rPr>
              <w:t>10</w:t>
            </w:r>
          </w:p>
        </w:tc>
        <w:tc>
          <w:tcPr>
            <w:tcW w:w="767" w:type="dxa"/>
          </w:tcPr>
          <w:p>
            <w:pPr>
              <w:pStyle w:val="TableParagraph"/>
              <w:spacing w:before="1"/>
              <w:ind w:right="101"/>
              <w:jc w:val="right"/>
              <w:rPr>
                <w:sz w:val="22"/>
              </w:rPr>
            </w:pPr>
            <w:r>
              <w:rPr>
                <w:sz w:val="22"/>
              </w:rPr>
              <w:t>54</w:t>
            </w:r>
          </w:p>
        </w:tc>
      </w:tr>
    </w:tbl>
    <w:p>
      <w:pPr>
        <w:spacing w:before="0"/>
        <w:ind w:left="535" w:right="874" w:firstLine="0"/>
        <w:jc w:val="center"/>
        <w:rPr>
          <w:rFonts w:ascii="Arial" w:hAnsi="Arial"/>
          <w:b/>
          <w:sz w:val="20"/>
        </w:rPr>
      </w:pPr>
      <w:r>
        <w:rPr>
          <w:rFonts w:ascii="Arial" w:hAnsi="Arial"/>
          <w:b/>
          <w:sz w:val="20"/>
        </w:rPr>
        <w:t>Table 11 – Crowding Information – 1/2</w:t>
      </w:r>
    </w:p>
    <w:p>
      <w:pPr>
        <w:spacing w:after="0"/>
        <w:jc w:val="center"/>
        <w:rPr>
          <w:rFonts w:ascii="Arial" w:hAnsi="Arial"/>
          <w:sz w:val="20"/>
        </w:rPr>
        <w:sectPr>
          <w:type w:val="continuous"/>
          <w:pgSz w:w="12240" w:h="15840"/>
          <w:pgMar w:top="1340" w:bottom="1520" w:left="1220" w:right="880"/>
        </w:sectPr>
      </w:pPr>
    </w:p>
    <w:p>
      <w:pPr>
        <w:spacing w:before="93"/>
        <w:ind w:left="335" w:right="20" w:firstLine="0"/>
        <w:jc w:val="left"/>
        <w:rPr>
          <w:b/>
          <w:sz w:val="16"/>
        </w:rPr>
      </w:pPr>
      <w:r>
        <w:rPr>
          <w:b/>
          <w:sz w:val="16"/>
        </w:rPr>
        <w:t>Data Source:</w:t>
      </w:r>
    </w:p>
    <w:p>
      <w:pPr>
        <w:spacing w:before="93"/>
        <w:ind w:left="335" w:right="0" w:firstLine="0"/>
        <w:jc w:val="left"/>
        <w:rPr>
          <w:sz w:val="16"/>
        </w:rPr>
      </w:pPr>
      <w:r>
        <w:rPr/>
        <w:br w:type="column"/>
      </w:r>
      <w:r>
        <w:rPr>
          <w:sz w:val="16"/>
        </w:rPr>
        <w:t>2016-2020 CHAS</w:t>
      </w:r>
    </w:p>
    <w:p>
      <w:pPr>
        <w:spacing w:after="0"/>
        <w:jc w:val="left"/>
        <w:rPr>
          <w:sz w:val="16"/>
        </w:rPr>
        <w:sectPr>
          <w:pgSz w:w="12240" w:h="15840"/>
          <w:pgMar w:header="769" w:footer="1321" w:top="1340" w:bottom="1540" w:left="1220" w:right="880"/>
          <w:cols w:num="2" w:equalWidth="0">
            <w:col w:w="872" w:space="94"/>
            <w:col w:w="9174"/>
          </w:cols>
        </w:sectPr>
      </w:pPr>
    </w:p>
    <w:p>
      <w:pPr>
        <w:pStyle w:val="BodyText"/>
        <w:rPr>
          <w:sz w:val="20"/>
        </w:rPr>
      </w:pPr>
    </w:p>
    <w:p>
      <w:pPr>
        <w:pStyle w:val="BodyText"/>
        <w:spacing w:before="2"/>
        <w:rPr>
          <w:sz w:val="24"/>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87"/>
        <w:gridCol w:w="751"/>
        <w:gridCol w:w="760"/>
        <w:gridCol w:w="760"/>
        <w:gridCol w:w="798"/>
        <w:gridCol w:w="751"/>
        <w:gridCol w:w="760"/>
        <w:gridCol w:w="760"/>
        <w:gridCol w:w="798"/>
      </w:tblGrid>
      <w:tr>
        <w:trPr>
          <w:trHeight w:val="239" w:hRule="atLeast"/>
        </w:trPr>
        <w:tc>
          <w:tcPr>
            <w:tcW w:w="1687" w:type="dxa"/>
            <w:vMerge w:val="restart"/>
          </w:tcPr>
          <w:p>
            <w:pPr>
              <w:pStyle w:val="TableParagraph"/>
              <w:rPr>
                <w:rFonts w:ascii="Times New Roman"/>
                <w:sz w:val="20"/>
              </w:rPr>
            </w:pPr>
          </w:p>
        </w:tc>
        <w:tc>
          <w:tcPr>
            <w:tcW w:w="3069" w:type="dxa"/>
            <w:gridSpan w:val="4"/>
          </w:tcPr>
          <w:p>
            <w:pPr>
              <w:pStyle w:val="TableParagraph"/>
              <w:spacing w:line="218" w:lineRule="exact" w:before="1"/>
              <w:ind w:left="1230" w:right="1220"/>
              <w:jc w:val="center"/>
              <w:rPr>
                <w:b/>
                <w:sz w:val="20"/>
              </w:rPr>
            </w:pPr>
            <w:r>
              <w:rPr>
                <w:b/>
                <w:sz w:val="20"/>
              </w:rPr>
              <w:t>Renter</w:t>
            </w:r>
          </w:p>
        </w:tc>
        <w:tc>
          <w:tcPr>
            <w:tcW w:w="3069" w:type="dxa"/>
            <w:gridSpan w:val="4"/>
          </w:tcPr>
          <w:p>
            <w:pPr>
              <w:pStyle w:val="TableParagraph"/>
              <w:spacing w:line="218" w:lineRule="exact" w:before="1"/>
              <w:ind w:left="1230" w:right="1220"/>
              <w:jc w:val="center"/>
              <w:rPr>
                <w:b/>
                <w:sz w:val="20"/>
              </w:rPr>
            </w:pPr>
            <w:r>
              <w:rPr>
                <w:b/>
                <w:sz w:val="20"/>
              </w:rPr>
              <w:t>Owner</w:t>
            </w:r>
          </w:p>
        </w:tc>
      </w:tr>
      <w:tr>
        <w:trPr>
          <w:trHeight w:val="256" w:hRule="atLeast"/>
        </w:trPr>
        <w:tc>
          <w:tcPr>
            <w:tcW w:w="1687" w:type="dxa"/>
            <w:vMerge/>
            <w:tcBorders>
              <w:top w:val="nil"/>
            </w:tcBorders>
          </w:tcPr>
          <w:p>
            <w:pPr>
              <w:rPr>
                <w:sz w:val="2"/>
                <w:szCs w:val="2"/>
              </w:rPr>
            </w:pPr>
          </w:p>
        </w:tc>
        <w:tc>
          <w:tcPr>
            <w:tcW w:w="751" w:type="dxa"/>
            <w:tcBorders>
              <w:bottom w:val="nil"/>
            </w:tcBorders>
          </w:tcPr>
          <w:p>
            <w:pPr>
              <w:pStyle w:val="TableParagraph"/>
              <w:spacing w:line="235" w:lineRule="exact" w:before="1"/>
              <w:ind w:left="97" w:right="87"/>
              <w:jc w:val="center"/>
              <w:rPr>
                <w:b/>
                <w:sz w:val="20"/>
              </w:rPr>
            </w:pPr>
            <w:r>
              <w:rPr>
                <w:b/>
                <w:sz w:val="20"/>
              </w:rPr>
              <w:t>0-30%</w:t>
            </w:r>
          </w:p>
        </w:tc>
        <w:tc>
          <w:tcPr>
            <w:tcW w:w="760" w:type="dxa"/>
            <w:tcBorders>
              <w:bottom w:val="nil"/>
            </w:tcBorders>
          </w:tcPr>
          <w:p>
            <w:pPr>
              <w:pStyle w:val="TableParagraph"/>
              <w:spacing w:line="235" w:lineRule="exact" w:before="1"/>
              <w:ind w:left="175" w:right="165"/>
              <w:jc w:val="center"/>
              <w:rPr>
                <w:b/>
                <w:sz w:val="20"/>
              </w:rPr>
            </w:pPr>
            <w:r>
              <w:rPr>
                <w:b/>
                <w:sz w:val="20"/>
              </w:rPr>
              <w:t>&gt;30-</w:t>
            </w:r>
          </w:p>
        </w:tc>
        <w:tc>
          <w:tcPr>
            <w:tcW w:w="760" w:type="dxa"/>
            <w:tcBorders>
              <w:bottom w:val="nil"/>
            </w:tcBorders>
          </w:tcPr>
          <w:p>
            <w:pPr>
              <w:pStyle w:val="TableParagraph"/>
              <w:spacing w:line="235" w:lineRule="exact" w:before="1"/>
              <w:ind w:left="175" w:right="165"/>
              <w:jc w:val="center"/>
              <w:rPr>
                <w:b/>
                <w:sz w:val="20"/>
              </w:rPr>
            </w:pPr>
            <w:r>
              <w:rPr>
                <w:b/>
                <w:sz w:val="20"/>
              </w:rPr>
              <w:t>&gt;50-</w:t>
            </w:r>
          </w:p>
        </w:tc>
        <w:tc>
          <w:tcPr>
            <w:tcW w:w="798" w:type="dxa"/>
            <w:tcBorders>
              <w:bottom w:val="nil"/>
            </w:tcBorders>
          </w:tcPr>
          <w:p>
            <w:pPr>
              <w:pStyle w:val="TableParagraph"/>
              <w:spacing w:line="235" w:lineRule="exact" w:before="1"/>
              <w:ind w:left="184"/>
              <w:rPr>
                <w:b/>
                <w:sz w:val="20"/>
              </w:rPr>
            </w:pPr>
            <w:r>
              <w:rPr>
                <w:b/>
                <w:sz w:val="20"/>
              </w:rPr>
              <w:t>Total</w:t>
            </w:r>
          </w:p>
        </w:tc>
        <w:tc>
          <w:tcPr>
            <w:tcW w:w="751" w:type="dxa"/>
            <w:tcBorders>
              <w:bottom w:val="nil"/>
            </w:tcBorders>
          </w:tcPr>
          <w:p>
            <w:pPr>
              <w:pStyle w:val="TableParagraph"/>
              <w:spacing w:line="235" w:lineRule="exact" w:before="1"/>
              <w:ind w:left="97" w:right="87"/>
              <w:jc w:val="center"/>
              <w:rPr>
                <w:b/>
                <w:sz w:val="20"/>
              </w:rPr>
            </w:pPr>
            <w:r>
              <w:rPr>
                <w:b/>
                <w:sz w:val="20"/>
              </w:rPr>
              <w:t>0-30%</w:t>
            </w:r>
          </w:p>
        </w:tc>
        <w:tc>
          <w:tcPr>
            <w:tcW w:w="760" w:type="dxa"/>
            <w:tcBorders>
              <w:bottom w:val="nil"/>
            </w:tcBorders>
          </w:tcPr>
          <w:p>
            <w:pPr>
              <w:pStyle w:val="TableParagraph"/>
              <w:spacing w:line="235" w:lineRule="exact" w:before="1"/>
              <w:ind w:left="174" w:right="165"/>
              <w:jc w:val="center"/>
              <w:rPr>
                <w:b/>
                <w:sz w:val="20"/>
              </w:rPr>
            </w:pPr>
            <w:r>
              <w:rPr>
                <w:b/>
                <w:sz w:val="20"/>
              </w:rPr>
              <w:t>&gt;30-</w:t>
            </w:r>
          </w:p>
        </w:tc>
        <w:tc>
          <w:tcPr>
            <w:tcW w:w="760" w:type="dxa"/>
            <w:tcBorders>
              <w:bottom w:val="nil"/>
            </w:tcBorders>
          </w:tcPr>
          <w:p>
            <w:pPr>
              <w:pStyle w:val="TableParagraph"/>
              <w:spacing w:line="235" w:lineRule="exact" w:before="1"/>
              <w:ind w:left="174" w:right="165"/>
              <w:jc w:val="center"/>
              <w:rPr>
                <w:b/>
                <w:sz w:val="20"/>
              </w:rPr>
            </w:pPr>
            <w:r>
              <w:rPr>
                <w:b/>
                <w:sz w:val="20"/>
              </w:rPr>
              <w:t>&gt;50-</w:t>
            </w:r>
          </w:p>
        </w:tc>
        <w:tc>
          <w:tcPr>
            <w:tcW w:w="798" w:type="dxa"/>
            <w:tcBorders>
              <w:bottom w:val="nil"/>
            </w:tcBorders>
          </w:tcPr>
          <w:p>
            <w:pPr>
              <w:pStyle w:val="TableParagraph"/>
              <w:spacing w:line="235" w:lineRule="exact" w:before="1"/>
              <w:ind w:left="184"/>
              <w:rPr>
                <w:b/>
                <w:sz w:val="20"/>
              </w:rPr>
            </w:pPr>
            <w:r>
              <w:rPr>
                <w:b/>
                <w:sz w:val="20"/>
              </w:rPr>
              <w:t>Total</w:t>
            </w:r>
          </w:p>
        </w:tc>
      </w:tr>
      <w:tr>
        <w:trPr>
          <w:trHeight w:val="229" w:hRule="atLeast"/>
        </w:trPr>
        <w:tc>
          <w:tcPr>
            <w:tcW w:w="1687" w:type="dxa"/>
            <w:vMerge/>
            <w:tcBorders>
              <w:top w:val="nil"/>
            </w:tcBorders>
          </w:tcPr>
          <w:p>
            <w:pPr>
              <w:rPr>
                <w:sz w:val="2"/>
                <w:szCs w:val="2"/>
              </w:rPr>
            </w:pPr>
          </w:p>
        </w:tc>
        <w:tc>
          <w:tcPr>
            <w:tcW w:w="751" w:type="dxa"/>
            <w:tcBorders>
              <w:top w:val="nil"/>
              <w:bottom w:val="nil"/>
            </w:tcBorders>
          </w:tcPr>
          <w:p>
            <w:pPr>
              <w:pStyle w:val="TableParagraph"/>
              <w:spacing w:line="209" w:lineRule="exact"/>
              <w:ind w:left="97" w:right="87"/>
              <w:jc w:val="center"/>
              <w:rPr>
                <w:b/>
                <w:sz w:val="20"/>
              </w:rPr>
            </w:pPr>
            <w:r>
              <w:rPr>
                <w:b/>
                <w:sz w:val="20"/>
              </w:rPr>
              <w:t>AMI</w:t>
            </w:r>
          </w:p>
        </w:tc>
        <w:tc>
          <w:tcPr>
            <w:tcW w:w="760" w:type="dxa"/>
            <w:tcBorders>
              <w:top w:val="nil"/>
              <w:bottom w:val="nil"/>
            </w:tcBorders>
          </w:tcPr>
          <w:p>
            <w:pPr>
              <w:pStyle w:val="TableParagraph"/>
              <w:spacing w:line="209" w:lineRule="exact"/>
              <w:ind w:left="174" w:right="165"/>
              <w:jc w:val="center"/>
              <w:rPr>
                <w:b/>
                <w:sz w:val="20"/>
              </w:rPr>
            </w:pPr>
            <w:r>
              <w:rPr>
                <w:b/>
                <w:sz w:val="20"/>
              </w:rPr>
              <w:t>50%</w:t>
            </w:r>
          </w:p>
        </w:tc>
        <w:tc>
          <w:tcPr>
            <w:tcW w:w="760" w:type="dxa"/>
            <w:tcBorders>
              <w:top w:val="nil"/>
              <w:bottom w:val="nil"/>
            </w:tcBorders>
          </w:tcPr>
          <w:p>
            <w:pPr>
              <w:pStyle w:val="TableParagraph"/>
              <w:spacing w:line="209" w:lineRule="exact"/>
              <w:ind w:left="174" w:right="165"/>
              <w:jc w:val="center"/>
              <w:rPr>
                <w:b/>
                <w:sz w:val="20"/>
              </w:rPr>
            </w:pPr>
            <w:r>
              <w:rPr>
                <w:b/>
                <w:sz w:val="20"/>
              </w:rPr>
              <w:t>80%</w:t>
            </w:r>
          </w:p>
        </w:tc>
        <w:tc>
          <w:tcPr>
            <w:tcW w:w="798" w:type="dxa"/>
            <w:tcBorders>
              <w:top w:val="nil"/>
              <w:bottom w:val="nil"/>
            </w:tcBorders>
          </w:tcPr>
          <w:p>
            <w:pPr>
              <w:pStyle w:val="TableParagraph"/>
              <w:rPr>
                <w:rFonts w:ascii="Times New Roman"/>
                <w:sz w:val="16"/>
              </w:rPr>
            </w:pPr>
          </w:p>
        </w:tc>
        <w:tc>
          <w:tcPr>
            <w:tcW w:w="751" w:type="dxa"/>
            <w:tcBorders>
              <w:top w:val="nil"/>
              <w:bottom w:val="nil"/>
            </w:tcBorders>
          </w:tcPr>
          <w:p>
            <w:pPr>
              <w:pStyle w:val="TableParagraph"/>
              <w:spacing w:line="209" w:lineRule="exact"/>
              <w:ind w:left="97" w:right="87"/>
              <w:jc w:val="center"/>
              <w:rPr>
                <w:b/>
                <w:sz w:val="20"/>
              </w:rPr>
            </w:pPr>
            <w:r>
              <w:rPr>
                <w:b/>
                <w:sz w:val="20"/>
              </w:rPr>
              <w:t>AMI</w:t>
            </w:r>
          </w:p>
        </w:tc>
        <w:tc>
          <w:tcPr>
            <w:tcW w:w="760" w:type="dxa"/>
            <w:tcBorders>
              <w:top w:val="nil"/>
              <w:bottom w:val="nil"/>
            </w:tcBorders>
          </w:tcPr>
          <w:p>
            <w:pPr>
              <w:pStyle w:val="TableParagraph"/>
              <w:spacing w:line="209" w:lineRule="exact"/>
              <w:ind w:left="174" w:right="165"/>
              <w:jc w:val="center"/>
              <w:rPr>
                <w:b/>
                <w:sz w:val="20"/>
              </w:rPr>
            </w:pPr>
            <w:r>
              <w:rPr>
                <w:b/>
                <w:sz w:val="20"/>
              </w:rPr>
              <w:t>50%</w:t>
            </w:r>
          </w:p>
        </w:tc>
        <w:tc>
          <w:tcPr>
            <w:tcW w:w="760" w:type="dxa"/>
            <w:tcBorders>
              <w:top w:val="nil"/>
              <w:bottom w:val="nil"/>
            </w:tcBorders>
          </w:tcPr>
          <w:p>
            <w:pPr>
              <w:pStyle w:val="TableParagraph"/>
              <w:spacing w:line="209" w:lineRule="exact"/>
              <w:ind w:left="174" w:right="165"/>
              <w:jc w:val="center"/>
              <w:rPr>
                <w:b/>
                <w:sz w:val="20"/>
              </w:rPr>
            </w:pPr>
            <w:r>
              <w:rPr>
                <w:b/>
                <w:sz w:val="20"/>
              </w:rPr>
              <w:t>80%</w:t>
            </w:r>
          </w:p>
        </w:tc>
        <w:tc>
          <w:tcPr>
            <w:tcW w:w="798" w:type="dxa"/>
            <w:tcBorders>
              <w:top w:val="nil"/>
              <w:bottom w:val="nil"/>
            </w:tcBorders>
          </w:tcPr>
          <w:p>
            <w:pPr>
              <w:pStyle w:val="TableParagraph"/>
              <w:rPr>
                <w:rFonts w:ascii="Times New Roman"/>
                <w:sz w:val="16"/>
              </w:rPr>
            </w:pPr>
          </w:p>
        </w:tc>
      </w:tr>
      <w:tr>
        <w:trPr>
          <w:trHeight w:val="212" w:hRule="atLeast"/>
        </w:trPr>
        <w:tc>
          <w:tcPr>
            <w:tcW w:w="1687" w:type="dxa"/>
            <w:vMerge/>
            <w:tcBorders>
              <w:top w:val="nil"/>
            </w:tcBorders>
          </w:tcPr>
          <w:p>
            <w:pPr>
              <w:rPr>
                <w:sz w:val="2"/>
                <w:szCs w:val="2"/>
              </w:rPr>
            </w:pPr>
          </w:p>
        </w:tc>
        <w:tc>
          <w:tcPr>
            <w:tcW w:w="751" w:type="dxa"/>
            <w:tcBorders>
              <w:top w:val="nil"/>
            </w:tcBorders>
          </w:tcPr>
          <w:p>
            <w:pPr>
              <w:pStyle w:val="TableParagraph"/>
              <w:rPr>
                <w:rFonts w:ascii="Times New Roman"/>
                <w:sz w:val="14"/>
              </w:rPr>
            </w:pPr>
          </w:p>
        </w:tc>
        <w:tc>
          <w:tcPr>
            <w:tcW w:w="760" w:type="dxa"/>
            <w:tcBorders>
              <w:top w:val="nil"/>
            </w:tcBorders>
          </w:tcPr>
          <w:p>
            <w:pPr>
              <w:pStyle w:val="TableParagraph"/>
              <w:spacing w:line="192" w:lineRule="exact"/>
              <w:ind w:left="174" w:right="165"/>
              <w:jc w:val="center"/>
              <w:rPr>
                <w:b/>
                <w:sz w:val="20"/>
              </w:rPr>
            </w:pPr>
            <w:r>
              <w:rPr>
                <w:b/>
                <w:sz w:val="20"/>
              </w:rPr>
              <w:t>AMI</w:t>
            </w:r>
          </w:p>
        </w:tc>
        <w:tc>
          <w:tcPr>
            <w:tcW w:w="760" w:type="dxa"/>
            <w:tcBorders>
              <w:top w:val="nil"/>
            </w:tcBorders>
          </w:tcPr>
          <w:p>
            <w:pPr>
              <w:pStyle w:val="TableParagraph"/>
              <w:spacing w:line="192" w:lineRule="exact"/>
              <w:ind w:left="174" w:right="165"/>
              <w:jc w:val="center"/>
              <w:rPr>
                <w:b/>
                <w:sz w:val="20"/>
              </w:rPr>
            </w:pPr>
            <w:r>
              <w:rPr>
                <w:b/>
                <w:sz w:val="20"/>
              </w:rPr>
              <w:t>AMI</w:t>
            </w:r>
          </w:p>
        </w:tc>
        <w:tc>
          <w:tcPr>
            <w:tcW w:w="798" w:type="dxa"/>
            <w:tcBorders>
              <w:top w:val="nil"/>
            </w:tcBorders>
          </w:tcPr>
          <w:p>
            <w:pPr>
              <w:pStyle w:val="TableParagraph"/>
              <w:rPr>
                <w:rFonts w:ascii="Times New Roman"/>
                <w:sz w:val="14"/>
              </w:rPr>
            </w:pPr>
          </w:p>
        </w:tc>
        <w:tc>
          <w:tcPr>
            <w:tcW w:w="751" w:type="dxa"/>
            <w:tcBorders>
              <w:top w:val="nil"/>
            </w:tcBorders>
          </w:tcPr>
          <w:p>
            <w:pPr>
              <w:pStyle w:val="TableParagraph"/>
              <w:rPr>
                <w:rFonts w:ascii="Times New Roman"/>
                <w:sz w:val="14"/>
              </w:rPr>
            </w:pPr>
          </w:p>
        </w:tc>
        <w:tc>
          <w:tcPr>
            <w:tcW w:w="760" w:type="dxa"/>
            <w:tcBorders>
              <w:top w:val="nil"/>
            </w:tcBorders>
          </w:tcPr>
          <w:p>
            <w:pPr>
              <w:pStyle w:val="TableParagraph"/>
              <w:spacing w:line="192" w:lineRule="exact"/>
              <w:ind w:left="174" w:right="165"/>
              <w:jc w:val="center"/>
              <w:rPr>
                <w:b/>
                <w:sz w:val="20"/>
              </w:rPr>
            </w:pPr>
            <w:r>
              <w:rPr>
                <w:b/>
                <w:sz w:val="20"/>
              </w:rPr>
              <w:t>AMI</w:t>
            </w:r>
          </w:p>
        </w:tc>
        <w:tc>
          <w:tcPr>
            <w:tcW w:w="760" w:type="dxa"/>
            <w:tcBorders>
              <w:top w:val="nil"/>
            </w:tcBorders>
          </w:tcPr>
          <w:p>
            <w:pPr>
              <w:pStyle w:val="TableParagraph"/>
              <w:spacing w:line="192" w:lineRule="exact"/>
              <w:ind w:left="174" w:right="165"/>
              <w:jc w:val="center"/>
              <w:rPr>
                <w:b/>
                <w:sz w:val="20"/>
              </w:rPr>
            </w:pPr>
            <w:r>
              <w:rPr>
                <w:b/>
                <w:sz w:val="20"/>
              </w:rPr>
              <w:t>AMI</w:t>
            </w:r>
          </w:p>
        </w:tc>
        <w:tc>
          <w:tcPr>
            <w:tcW w:w="798" w:type="dxa"/>
            <w:tcBorders>
              <w:top w:val="nil"/>
            </w:tcBorders>
          </w:tcPr>
          <w:p>
            <w:pPr>
              <w:pStyle w:val="TableParagraph"/>
              <w:rPr>
                <w:rFonts w:ascii="Times New Roman"/>
                <w:sz w:val="14"/>
              </w:rPr>
            </w:pPr>
          </w:p>
        </w:tc>
      </w:tr>
      <w:tr>
        <w:trPr>
          <w:trHeight w:val="800" w:hRule="atLeast"/>
        </w:trPr>
        <w:tc>
          <w:tcPr>
            <w:tcW w:w="1687" w:type="dxa"/>
          </w:tcPr>
          <w:p>
            <w:pPr>
              <w:pStyle w:val="TableParagraph"/>
              <w:spacing w:line="270" w:lineRule="atLeast"/>
              <w:ind w:left="112" w:right="342"/>
              <w:rPr>
                <w:sz w:val="22"/>
              </w:rPr>
            </w:pPr>
            <w:r>
              <w:rPr>
                <w:sz w:val="22"/>
              </w:rPr>
              <w:t>Households with Children Present</w:t>
            </w:r>
          </w:p>
        </w:tc>
        <w:tc>
          <w:tcPr>
            <w:tcW w:w="751" w:type="dxa"/>
          </w:tcPr>
          <w:p>
            <w:pPr>
              <w:pStyle w:val="TableParagraph"/>
              <w:rPr>
                <w:rFonts w:ascii="Times New Roman"/>
                <w:sz w:val="20"/>
              </w:rPr>
            </w:pPr>
          </w:p>
        </w:tc>
        <w:tc>
          <w:tcPr>
            <w:tcW w:w="760" w:type="dxa"/>
          </w:tcPr>
          <w:p>
            <w:pPr>
              <w:pStyle w:val="TableParagraph"/>
              <w:rPr>
                <w:rFonts w:ascii="Times New Roman"/>
                <w:sz w:val="20"/>
              </w:rPr>
            </w:pPr>
          </w:p>
        </w:tc>
        <w:tc>
          <w:tcPr>
            <w:tcW w:w="760" w:type="dxa"/>
          </w:tcPr>
          <w:p>
            <w:pPr>
              <w:pStyle w:val="TableParagraph"/>
              <w:rPr>
                <w:rFonts w:ascii="Times New Roman"/>
                <w:sz w:val="20"/>
              </w:rPr>
            </w:pPr>
          </w:p>
        </w:tc>
        <w:tc>
          <w:tcPr>
            <w:tcW w:w="798" w:type="dxa"/>
          </w:tcPr>
          <w:p>
            <w:pPr>
              <w:pStyle w:val="TableParagraph"/>
              <w:rPr>
                <w:rFonts w:ascii="Times New Roman"/>
                <w:sz w:val="20"/>
              </w:rPr>
            </w:pPr>
          </w:p>
        </w:tc>
        <w:tc>
          <w:tcPr>
            <w:tcW w:w="751" w:type="dxa"/>
          </w:tcPr>
          <w:p>
            <w:pPr>
              <w:pStyle w:val="TableParagraph"/>
              <w:rPr>
                <w:rFonts w:ascii="Times New Roman"/>
                <w:sz w:val="20"/>
              </w:rPr>
            </w:pPr>
          </w:p>
        </w:tc>
        <w:tc>
          <w:tcPr>
            <w:tcW w:w="760" w:type="dxa"/>
          </w:tcPr>
          <w:p>
            <w:pPr>
              <w:pStyle w:val="TableParagraph"/>
              <w:rPr>
                <w:rFonts w:ascii="Times New Roman"/>
                <w:sz w:val="20"/>
              </w:rPr>
            </w:pPr>
          </w:p>
        </w:tc>
        <w:tc>
          <w:tcPr>
            <w:tcW w:w="760" w:type="dxa"/>
          </w:tcPr>
          <w:p>
            <w:pPr>
              <w:pStyle w:val="TableParagraph"/>
              <w:rPr>
                <w:rFonts w:ascii="Times New Roman"/>
                <w:sz w:val="20"/>
              </w:rPr>
            </w:pPr>
          </w:p>
        </w:tc>
        <w:tc>
          <w:tcPr>
            <w:tcW w:w="798" w:type="dxa"/>
          </w:tcPr>
          <w:p>
            <w:pPr>
              <w:pStyle w:val="TableParagraph"/>
              <w:rPr>
                <w:rFonts w:ascii="Times New Roman"/>
                <w:sz w:val="20"/>
              </w:rPr>
            </w:pPr>
          </w:p>
        </w:tc>
      </w:tr>
    </w:tbl>
    <w:p>
      <w:pPr>
        <w:spacing w:before="0"/>
        <w:ind w:left="535" w:right="874" w:firstLine="0"/>
        <w:jc w:val="center"/>
        <w:rPr>
          <w:rFonts w:ascii="Arial" w:hAnsi="Arial"/>
          <w:b/>
          <w:sz w:val="20"/>
        </w:rPr>
      </w:pPr>
      <w:r>
        <w:rPr>
          <w:rFonts w:ascii="Arial" w:hAnsi="Arial"/>
          <w:b/>
          <w:sz w:val="20"/>
        </w:rPr>
        <w:t>Table 12 – Crowding Information – 2/2</w:t>
      </w:r>
    </w:p>
    <w:p>
      <w:pPr>
        <w:pStyle w:val="BodyText"/>
        <w:rPr>
          <w:rFonts w:ascii="Arial"/>
          <w:b/>
        </w:rPr>
      </w:pPr>
    </w:p>
    <w:p>
      <w:pPr>
        <w:pStyle w:val="BodyText"/>
        <w:spacing w:before="7"/>
        <w:rPr>
          <w:rFonts w:ascii="Arial"/>
          <w:b/>
        </w:rPr>
      </w:pPr>
    </w:p>
    <w:p>
      <w:pPr>
        <w:pStyle w:val="Heading4"/>
      </w:pPr>
      <w:r>
        <w:rPr/>
        <w:t>Describe the number and type of single person households in need of housing assistance.</w:t>
      </w:r>
    </w:p>
    <w:p>
      <w:pPr>
        <w:pStyle w:val="BodyText"/>
        <w:spacing w:before="11"/>
        <w:rPr>
          <w:b/>
          <w:sz w:val="19"/>
        </w:rPr>
      </w:pPr>
    </w:p>
    <w:p>
      <w:pPr>
        <w:pStyle w:val="BodyText"/>
        <w:spacing w:line="276" w:lineRule="auto" w:before="1"/>
        <w:ind w:left="220" w:right="595"/>
      </w:pPr>
      <w:r>
        <w:rPr/>
        <w:t>Single-person households represent a significant portion of the population, including students, seniors, and individuals living alone. Many of these households face challenges related to affordability, access to resources, and housing stability, and many of the studio and one-bedroom apartments in the City remain vacant due to high cost. Single person households are more likely to be cost burdened than other household types. However, the high rate of cost burden for these households is likely due, at least in part, to the large number of college students living in the City. According to CHAS 2016-2020 data, 12,605 non-family, non-elderly households were considered cost burdened.</w:t>
      </w:r>
    </w:p>
    <w:p>
      <w:pPr>
        <w:pStyle w:val="BodyText"/>
        <w:spacing w:before="5"/>
        <w:rPr>
          <w:sz w:val="16"/>
        </w:rPr>
      </w:pPr>
    </w:p>
    <w:p>
      <w:pPr>
        <w:pStyle w:val="Heading4"/>
        <w:spacing w:line="276" w:lineRule="auto"/>
        <w:ind w:right="775"/>
      </w:pPr>
      <w:r>
        <w:rPr/>
        <w:t>Estimate the number and type of families in need of housing assistance who are disabled or victims of domestic violence, dating violence, sexual assault and stalking.</w:t>
      </w:r>
    </w:p>
    <w:p>
      <w:pPr>
        <w:pStyle w:val="BodyText"/>
        <w:spacing w:line="276" w:lineRule="auto" w:before="199"/>
        <w:ind w:left="220" w:right="558"/>
      </w:pPr>
      <w:r>
        <w:rPr/>
        <w:t>In Bloomington, families experiencing housing insecurity often face compounded challenges, particularly those with disabilities and those who are victims of domestic violence, dating violence, sexual assault, and stalking. These groups require targeted assistance to secure stable housing and support services.</w:t>
      </w:r>
    </w:p>
    <w:p>
      <w:pPr>
        <w:pStyle w:val="BodyText"/>
        <w:spacing w:before="5"/>
        <w:rPr>
          <w:sz w:val="16"/>
        </w:rPr>
      </w:pPr>
    </w:p>
    <w:p>
      <w:pPr>
        <w:pStyle w:val="BodyText"/>
        <w:ind w:left="220"/>
      </w:pPr>
      <w:r>
        <w:rPr/>
        <w:t>Families with Disabilities:</w:t>
      </w:r>
    </w:p>
    <w:p>
      <w:pPr>
        <w:pStyle w:val="BodyText"/>
        <w:spacing w:before="8"/>
        <w:rPr>
          <w:sz w:val="19"/>
        </w:rPr>
      </w:pPr>
    </w:p>
    <w:p>
      <w:pPr>
        <w:pStyle w:val="BodyText"/>
        <w:spacing w:line="276" w:lineRule="auto"/>
        <w:ind w:left="220" w:right="569"/>
      </w:pPr>
      <w:r>
        <w:rPr/>
        <w:t>According to 2019-2023 ACS Five Year Estimates, 7,267 individuals over the age of 18 report having </w:t>
      </w:r>
      <w:r>
        <w:rPr>
          <w:spacing w:val="-18"/>
        </w:rPr>
        <w:t>a </w:t>
      </w:r>
      <w:r>
        <w:rPr/>
        <w:t>disability. Many of these individuals likely need housing assistance due to challenges related to affordability and accessibility.</w:t>
      </w:r>
    </w:p>
    <w:p>
      <w:pPr>
        <w:pStyle w:val="BodyText"/>
        <w:spacing w:before="5"/>
        <w:rPr>
          <w:sz w:val="16"/>
        </w:rPr>
      </w:pPr>
    </w:p>
    <w:p>
      <w:pPr>
        <w:pStyle w:val="BodyText"/>
        <w:ind w:left="220"/>
      </w:pPr>
      <w:r>
        <w:rPr/>
        <w:t>Victims of Domestic Violence:</w:t>
      </w:r>
    </w:p>
    <w:p>
      <w:pPr>
        <w:pStyle w:val="BodyText"/>
        <w:spacing w:before="8"/>
        <w:rPr>
          <w:sz w:val="19"/>
        </w:rPr>
      </w:pPr>
    </w:p>
    <w:p>
      <w:pPr>
        <w:pStyle w:val="BodyText"/>
        <w:spacing w:line="276" w:lineRule="auto"/>
        <w:ind w:left="220" w:right="549"/>
      </w:pPr>
      <w:r>
        <w:rPr/>
        <w:t>National statistics indicate that about 1 in 4 women and 1 in 9 men experience severe intimate partner physical violence. Applying these statistics locally, if we consider that Bloomington has about 25,000 families, an estimated 1,000-2,500 families could be affected by domestic violence each year. Many of these families may need emergency shelter or transitional housing, as well as supportive services to help them recover and regain stability.</w:t>
      </w:r>
    </w:p>
    <w:p>
      <w:pPr>
        <w:spacing w:after="0" w:line="276" w:lineRule="auto"/>
        <w:sectPr>
          <w:type w:val="continuous"/>
          <w:pgSz w:w="12240" w:h="15840"/>
          <w:pgMar w:top="1340" w:bottom="1520" w:left="1220" w:right="880"/>
        </w:sectPr>
      </w:pPr>
    </w:p>
    <w:p>
      <w:pPr>
        <w:pStyle w:val="BodyText"/>
        <w:spacing w:before="94"/>
        <w:ind w:left="220"/>
      </w:pPr>
      <w:r>
        <w:rPr/>
        <w:t>Victims of Sexual Assault and Stalking:</w:t>
      </w:r>
    </w:p>
    <w:p>
      <w:pPr>
        <w:pStyle w:val="BodyText"/>
        <w:spacing w:before="8"/>
        <w:rPr>
          <w:sz w:val="19"/>
        </w:rPr>
      </w:pPr>
    </w:p>
    <w:p>
      <w:pPr>
        <w:pStyle w:val="BodyText"/>
        <w:spacing w:line="276" w:lineRule="auto"/>
        <w:ind w:left="220" w:right="621" w:firstLine="49"/>
      </w:pPr>
      <w:r>
        <w:rPr/>
        <w:t>Similar to domestic violence, statistics suggest that about 1 in 5 women and 1 in 20 men experience sexual assault in their lifetime. This may suggest that, in a city with approximately 25,000 families, there could be around 500-1,200 families affected by sexual violence. Victims often require safe housing options, especially if they are fleeing abusive situations.</w:t>
      </w:r>
    </w:p>
    <w:p>
      <w:pPr>
        <w:pStyle w:val="BodyText"/>
        <w:spacing w:before="5"/>
        <w:rPr>
          <w:sz w:val="16"/>
        </w:rPr>
      </w:pPr>
    </w:p>
    <w:p>
      <w:pPr>
        <w:pStyle w:val="Heading4"/>
      </w:pPr>
      <w:r>
        <w:rPr/>
        <w:t>What are the most common housing problems?</w:t>
      </w:r>
    </w:p>
    <w:p>
      <w:pPr>
        <w:pStyle w:val="BodyText"/>
        <w:spacing w:before="12"/>
        <w:rPr>
          <w:b/>
          <w:sz w:val="19"/>
        </w:rPr>
      </w:pPr>
    </w:p>
    <w:p>
      <w:pPr>
        <w:pStyle w:val="BodyText"/>
        <w:spacing w:line="276" w:lineRule="auto"/>
        <w:ind w:left="220" w:right="667"/>
      </w:pPr>
      <w:r>
        <w:rPr/>
        <w:t>One of the most pressing issues in Bloomington is the affordability of housing. Over the past few years, rental prices have soared, often outpacing wage growth for many residents. For more than 40% of households in Bloomington, this has resulted in a precarious situation where a significant portion of their income is allocated to housing costs. This financial strain not only limits their ability to cover other essential expenses, such as food, healthcare, and transportation, but also increases the risk of housing instability and eviction.</w:t>
      </w:r>
    </w:p>
    <w:p>
      <w:pPr>
        <w:pStyle w:val="BodyText"/>
        <w:spacing w:before="4"/>
        <w:rPr>
          <w:sz w:val="16"/>
        </w:rPr>
      </w:pPr>
    </w:p>
    <w:p>
      <w:pPr>
        <w:pStyle w:val="BodyText"/>
        <w:spacing w:line="276" w:lineRule="auto" w:before="1"/>
        <w:ind w:left="220" w:right="570"/>
      </w:pPr>
      <w:r>
        <w:rPr/>
        <w:t>The shortage of affordable housing units exacerbates the affordability crisis. The demand for rentals, particularly from the student population of Indiana University, places additional pressure on the housing market. As developers focus on high-end properties to maximize profits, low-income families often find themselves competing for a shrinking number of affordable options. This scarcity leads to longer wait times for housing assistance and leaves many households without viable alternatives.</w:t>
      </w:r>
    </w:p>
    <w:p>
      <w:pPr>
        <w:pStyle w:val="BodyText"/>
        <w:spacing w:before="4"/>
        <w:rPr>
          <w:sz w:val="16"/>
        </w:rPr>
      </w:pPr>
    </w:p>
    <w:p>
      <w:pPr>
        <w:pStyle w:val="BodyText"/>
        <w:spacing w:line="276" w:lineRule="auto"/>
        <w:ind w:left="220" w:right="657"/>
      </w:pPr>
      <w:r>
        <w:rPr/>
        <w:t>Homelessness is an ongoing issue that highlights the severity of the housing crisis. Many individuals </w:t>
      </w:r>
      <w:r>
        <w:rPr>
          <w:spacing w:val="-6"/>
        </w:rPr>
        <w:t>and </w:t>
      </w:r>
      <w:r>
        <w:rPr/>
        <w:t>families find themselves without stable housing due to a combination of rising costs, personal crises, increased substance use, and a lack of adequate support services. The need for emergency shelters and transitional housing options is critical, yet these resources are often stretched thin. Families fleeing domestic violence or those experiencing economic hardship may struggle to find safe and supportive environments.</w:t>
      </w:r>
    </w:p>
    <w:p>
      <w:pPr>
        <w:pStyle w:val="BodyText"/>
        <w:spacing w:before="5"/>
        <w:rPr>
          <w:sz w:val="16"/>
        </w:rPr>
      </w:pPr>
    </w:p>
    <w:p>
      <w:pPr>
        <w:pStyle w:val="BodyText"/>
        <w:spacing w:line="276" w:lineRule="auto"/>
        <w:ind w:left="220" w:right="569"/>
      </w:pPr>
      <w:r>
        <w:rPr/>
        <w:t>The housing challenges in Bloomington reflect a broader trend seen in many urban areas across the country. Addressing these issues requires an approach that includes increasing the availability of affordable housing, improving the quality of existing units, and providing essential support services </w:t>
      </w:r>
      <w:r>
        <w:rPr>
          <w:spacing w:val="-9"/>
        </w:rPr>
        <w:t>to </w:t>
      </w:r>
      <w:r>
        <w:rPr/>
        <w:t>those in need.</w:t>
      </w:r>
    </w:p>
    <w:p>
      <w:pPr>
        <w:pStyle w:val="BodyText"/>
        <w:spacing w:before="5"/>
        <w:rPr>
          <w:sz w:val="16"/>
        </w:rPr>
      </w:pPr>
    </w:p>
    <w:p>
      <w:pPr>
        <w:pStyle w:val="Heading4"/>
      </w:pPr>
      <w:r>
        <w:rPr/>
        <w:t>Are any populations/household types more affected than others by these problems?</w:t>
      </w:r>
    </w:p>
    <w:p>
      <w:pPr>
        <w:pStyle w:val="BodyText"/>
        <w:spacing w:before="11"/>
        <w:rPr>
          <w:b/>
          <w:sz w:val="19"/>
        </w:rPr>
      </w:pPr>
    </w:p>
    <w:p>
      <w:pPr>
        <w:pStyle w:val="BodyText"/>
        <w:spacing w:line="276" w:lineRule="auto" w:before="1"/>
        <w:ind w:left="220" w:right="571"/>
      </w:pPr>
      <w:r>
        <w:rPr/>
        <w:t>Overall, the intersection of income level, family structure, age, disability status, and social circumstances plays a critical role in determining who is most affected by housing problems in Bloomington. The data emphasizes the need for more affordable housing options, especially for those at or below 30% HAMFI, who represent a significant portion of both renters and owners facing housing problems. They often struggle to find safe, decent housing within their budget. Households (both renters and owners) with income &lt;= 30% HAMFI are significantly overrepresented among those with housing problems, indicating that low-income households are at higher risk for experiencing various housing issues. Single-parent</w:t>
      </w:r>
    </w:p>
    <w:p>
      <w:pPr>
        <w:spacing w:after="0" w:line="276" w:lineRule="auto"/>
        <w:sectPr>
          <w:pgSz w:w="12240" w:h="15840"/>
          <w:pgMar w:header="769" w:footer="1321" w:top="1340" w:bottom="1540" w:left="1220" w:right="880"/>
        </w:sectPr>
      </w:pPr>
    </w:p>
    <w:p>
      <w:pPr>
        <w:pStyle w:val="BodyText"/>
        <w:spacing w:line="276" w:lineRule="auto" w:before="94"/>
        <w:ind w:left="220" w:right="731"/>
      </w:pPr>
      <w:r>
        <w:rPr/>
        <w:t>families, particularly those led by women, frequently encounter financial hardships that make securing stable housing difficult. These households are often more vulnerable to cost burdens and housing instability.</w:t>
      </w:r>
    </w:p>
    <w:p>
      <w:pPr>
        <w:pStyle w:val="BodyText"/>
        <w:spacing w:before="4"/>
        <w:rPr>
          <w:sz w:val="16"/>
        </w:rPr>
      </w:pPr>
    </w:p>
    <w:p>
      <w:pPr>
        <w:pStyle w:val="BodyText"/>
        <w:spacing w:line="276" w:lineRule="auto"/>
        <w:ind w:left="220" w:right="657"/>
        <w:jc w:val="both"/>
      </w:pPr>
      <w:r>
        <w:rPr/>
        <w:t>In addition to families, elderly residents and individuals with disabilities face unique barriers to housing. Elderly residents often live on fixed incomes, making it challenging to afford rising housing costs.</w:t>
      </w:r>
    </w:p>
    <w:p>
      <w:pPr>
        <w:pStyle w:val="BodyText"/>
        <w:spacing w:line="276" w:lineRule="auto"/>
        <w:ind w:left="220" w:right="991"/>
        <w:jc w:val="both"/>
      </w:pPr>
      <w:r>
        <w:rPr/>
        <w:t>Additionally, as seniors choose to age in place, they may require accessible housing that meets their specific needs, and may also experience difficulty maintaining a home that is larger than they need. Households that include individuals with disabilities face unique challenges in finding accessible and affordable housing. Many existing units do not meet accessibility standards, limiting their options.</w:t>
      </w:r>
    </w:p>
    <w:p>
      <w:pPr>
        <w:pStyle w:val="BodyText"/>
        <w:spacing w:before="5"/>
        <w:rPr>
          <w:sz w:val="16"/>
        </w:rPr>
      </w:pPr>
    </w:p>
    <w:p>
      <w:pPr>
        <w:pStyle w:val="Heading4"/>
        <w:spacing w:line="276" w:lineRule="auto" w:before="1"/>
        <w:ind w:right="783"/>
      </w:pPr>
      <w:r>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pPr>
        <w:pStyle w:val="BodyText"/>
        <w:spacing w:before="3"/>
        <w:rPr>
          <w:b/>
          <w:sz w:val="19"/>
        </w:rPr>
      </w:pPr>
    </w:p>
    <w:p>
      <w:pPr>
        <w:pStyle w:val="BodyText"/>
        <w:spacing w:line="276" w:lineRule="auto"/>
        <w:ind w:left="220" w:right="569"/>
        <w:rPr>
          <w:rFonts w:ascii="Arial"/>
        </w:rPr>
      </w:pPr>
      <w:r>
        <w:rPr>
          <w:rFonts w:ascii="Arial"/>
        </w:rPr>
        <w:t>Individuals and families with children who are currently housed but are at risk of becoming unsheltered typically have a combination of financial factors present in their lives including unemployment/loss of employment, high or unexpected medical costs, and high childcare costs. Contributing to these factors could be a lack of reliable transportation in the form of a personal vehicle or public transit. Additionally, some individuals and families may have other needs related to mental health, substance abuse, domestic violence, and/or prior experiences of being homeless, among other compounding issues.</w:t>
      </w:r>
    </w:p>
    <w:p>
      <w:pPr>
        <w:pStyle w:val="BodyText"/>
        <w:spacing w:before="10"/>
        <w:rPr>
          <w:rFonts w:ascii="Arial"/>
          <w:sz w:val="20"/>
        </w:rPr>
      </w:pPr>
    </w:p>
    <w:p>
      <w:pPr>
        <w:pStyle w:val="BodyText"/>
        <w:spacing w:line="276" w:lineRule="auto"/>
        <w:ind w:left="220" w:right="569"/>
        <w:rPr>
          <w:rFonts w:ascii="Arial"/>
        </w:rPr>
      </w:pPr>
      <w:r>
        <w:rPr>
          <w:rFonts w:ascii="Arial"/>
        </w:rPr>
        <w:t>Heading Home of South Central Indiana identified diversion as efforts as a homelessness prevention strategy. Flexible funding sources that can be used to address the emergency that may lead to homelessness are needed.</w:t>
      </w:r>
    </w:p>
    <w:p>
      <w:pPr>
        <w:pStyle w:val="Heading4"/>
        <w:spacing w:line="276" w:lineRule="auto" w:before="205"/>
        <w:ind w:right="926"/>
      </w:pPr>
      <w:r>
        <w:rPr/>
        <w:t>If a jurisdiction provides estimates of the at-risk population(s), it should also include a description of the operational definition of the at-risk group and the methodology used to generate the estimates:</w:t>
      </w:r>
    </w:p>
    <w:p>
      <w:pPr>
        <w:pStyle w:val="Heading5"/>
        <w:spacing w:before="200"/>
        <w:ind w:left="220" w:firstLine="0"/>
        <w:jc w:val="both"/>
        <w:rPr>
          <w:b/>
        </w:rPr>
      </w:pPr>
      <w:r>
        <w:rPr/>
        <w:t>Estimates are derived from national statistics related to vulnerable populations</w:t>
      </w:r>
      <w:r>
        <w:rPr>
          <w:b/>
        </w:rPr>
        <w:t>.</w:t>
      </w:r>
    </w:p>
    <w:p>
      <w:pPr>
        <w:pStyle w:val="BodyText"/>
        <w:spacing w:before="11"/>
        <w:rPr>
          <w:b/>
          <w:sz w:val="19"/>
        </w:rPr>
      </w:pPr>
    </w:p>
    <w:p>
      <w:pPr>
        <w:spacing w:line="276" w:lineRule="auto" w:before="1"/>
        <w:ind w:left="220" w:right="1339" w:firstLine="0"/>
        <w:jc w:val="left"/>
        <w:rPr>
          <w:b/>
          <w:sz w:val="24"/>
        </w:rPr>
      </w:pPr>
      <w:r>
        <w:rPr>
          <w:b/>
          <w:sz w:val="24"/>
        </w:rPr>
        <w:t>Specify particular housing characteristics that have been linked with instability and an increased risk of homelessness</w:t>
      </w:r>
    </w:p>
    <w:p>
      <w:pPr>
        <w:spacing w:line="276" w:lineRule="auto" w:before="200"/>
        <w:ind w:left="220" w:right="729" w:firstLine="0"/>
        <w:jc w:val="both"/>
        <w:rPr>
          <w:sz w:val="24"/>
        </w:rPr>
      </w:pPr>
      <w:r>
        <w:rPr>
          <w:sz w:val="24"/>
        </w:rPr>
        <w:t>The following characteristics – identified by stakeholders - are linked to housing instability and an increased risk of homelessness:</w:t>
      </w:r>
    </w:p>
    <w:p>
      <w:pPr>
        <w:pStyle w:val="ListParagraph"/>
        <w:numPr>
          <w:ilvl w:val="1"/>
          <w:numId w:val="5"/>
        </w:numPr>
        <w:tabs>
          <w:tab w:pos="1299" w:val="left" w:leader="none"/>
          <w:tab w:pos="1300" w:val="left" w:leader="none"/>
        </w:tabs>
        <w:spacing w:line="240" w:lineRule="auto" w:before="164" w:after="0"/>
        <w:ind w:left="1300" w:right="0" w:hanging="360"/>
        <w:jc w:val="left"/>
        <w:rPr>
          <w:sz w:val="24"/>
        </w:rPr>
      </w:pPr>
      <w:r>
        <w:rPr>
          <w:sz w:val="24"/>
        </w:rPr>
        <w:t>New housing is increasingly targeted to the student population</w:t>
      </w:r>
    </w:p>
    <w:p>
      <w:pPr>
        <w:spacing w:after="0" w:line="240" w:lineRule="auto"/>
        <w:jc w:val="left"/>
        <w:rPr>
          <w:sz w:val="24"/>
        </w:rPr>
        <w:sectPr>
          <w:pgSz w:w="12240" w:h="15840"/>
          <w:pgMar w:header="769" w:footer="1321" w:top="1340" w:bottom="1540" w:left="1220" w:right="880"/>
        </w:sectPr>
      </w:pPr>
    </w:p>
    <w:p>
      <w:pPr>
        <w:pStyle w:val="ListParagraph"/>
        <w:numPr>
          <w:ilvl w:val="1"/>
          <w:numId w:val="5"/>
        </w:numPr>
        <w:tabs>
          <w:tab w:pos="1299" w:val="left" w:leader="none"/>
          <w:tab w:pos="1300" w:val="left" w:leader="none"/>
        </w:tabs>
        <w:spacing w:line="397" w:lineRule="exact" w:before="59" w:after="0"/>
        <w:ind w:left="1300" w:right="0" w:hanging="360"/>
        <w:jc w:val="left"/>
        <w:rPr>
          <w:sz w:val="24"/>
        </w:rPr>
      </w:pPr>
      <w:r>
        <w:rPr>
          <w:sz w:val="24"/>
        </w:rPr>
        <w:t>Housing costs are rising</w:t>
      </w:r>
    </w:p>
    <w:p>
      <w:pPr>
        <w:pStyle w:val="ListParagraph"/>
        <w:numPr>
          <w:ilvl w:val="1"/>
          <w:numId w:val="5"/>
        </w:numPr>
        <w:tabs>
          <w:tab w:pos="1299" w:val="left" w:leader="none"/>
          <w:tab w:pos="1300" w:val="left" w:leader="none"/>
        </w:tabs>
        <w:spacing w:line="394" w:lineRule="exact" w:before="0" w:after="0"/>
        <w:ind w:left="1300" w:right="0" w:hanging="360"/>
        <w:jc w:val="left"/>
        <w:rPr>
          <w:sz w:val="24"/>
        </w:rPr>
      </w:pPr>
      <w:r>
        <w:rPr>
          <w:sz w:val="24"/>
        </w:rPr>
        <w:t>It is difficult to build new multi-family housing in most neighborhoods due to some</w:t>
      </w:r>
    </w:p>
    <w:p>
      <w:pPr>
        <w:spacing w:line="276" w:lineRule="auto" w:before="0"/>
        <w:ind w:left="1300" w:right="1272" w:firstLine="0"/>
        <w:jc w:val="left"/>
        <w:rPr>
          <w:sz w:val="24"/>
        </w:rPr>
      </w:pPr>
      <w:r>
        <w:rPr>
          <w:sz w:val="24"/>
        </w:rPr>
        <w:t>resistance to change in neighborhood character, as well as zoning restrictions contained in the Unified Development Ordinance</w:t>
      </w:r>
    </w:p>
    <w:p>
      <w:pPr>
        <w:pStyle w:val="ListParagraph"/>
        <w:numPr>
          <w:ilvl w:val="1"/>
          <w:numId w:val="5"/>
        </w:numPr>
        <w:tabs>
          <w:tab w:pos="1299" w:val="left" w:leader="none"/>
          <w:tab w:pos="1300" w:val="left" w:leader="none"/>
        </w:tabs>
        <w:spacing w:line="379" w:lineRule="exact" w:before="0" w:after="0"/>
        <w:ind w:left="1300" w:right="0" w:hanging="360"/>
        <w:jc w:val="left"/>
        <w:rPr>
          <w:sz w:val="24"/>
        </w:rPr>
      </w:pPr>
      <w:r>
        <w:rPr>
          <w:sz w:val="24"/>
        </w:rPr>
        <w:t>There are only a handful of landlords that are willing to accept housing vouchers</w:t>
      </w:r>
    </w:p>
    <w:p>
      <w:pPr>
        <w:spacing w:line="290" w:lineRule="exact" w:before="0"/>
        <w:ind w:left="1300" w:right="0" w:firstLine="0"/>
        <w:jc w:val="left"/>
        <w:rPr>
          <w:sz w:val="24"/>
        </w:rPr>
      </w:pPr>
      <w:r>
        <w:rPr>
          <w:sz w:val="24"/>
        </w:rPr>
        <w:t>from formerly homeless individuals.</w:t>
      </w:r>
    </w:p>
    <w:p>
      <w:pPr>
        <w:spacing w:after="0" w:line="290" w:lineRule="exact"/>
        <w:jc w:val="left"/>
        <w:rPr>
          <w:sz w:val="24"/>
        </w:rPr>
        <w:sectPr>
          <w:pgSz w:w="12240" w:h="15840"/>
          <w:pgMar w:header="769" w:footer="1321" w:top="1340" w:bottom="1540" w:left="1220" w:right="880"/>
        </w:sectPr>
      </w:pPr>
    </w:p>
    <w:p>
      <w:pPr>
        <w:pStyle w:val="BodyText"/>
        <w:rPr>
          <w:sz w:val="18"/>
        </w:rPr>
      </w:pPr>
    </w:p>
    <w:p>
      <w:pPr>
        <w:spacing w:line="276" w:lineRule="auto" w:before="36"/>
        <w:ind w:left="220" w:right="848" w:firstLine="0"/>
        <w:jc w:val="left"/>
        <w:rPr>
          <w:b/>
          <w:sz w:val="32"/>
        </w:rPr>
      </w:pPr>
      <w:r>
        <w:rPr>
          <w:b/>
          <w:color w:val="0E4661"/>
          <w:sz w:val="32"/>
        </w:rPr>
        <w:t>NA-15 Disproportionately Greater Need: Housing Problems – 91.205 (b)(2)</w:t>
      </w:r>
    </w:p>
    <w:p>
      <w:pPr>
        <w:pStyle w:val="BodyText"/>
        <w:spacing w:line="276" w:lineRule="auto" w:before="78"/>
        <w:ind w:left="220" w:right="661"/>
      </w:pPr>
      <w:r>
        <w:rPr/>
        <w:t>Assess the need of any racial or ethnic group that has disproportionately greater need in comparison to the needs of that category of need as a whole.</w:t>
      </w:r>
    </w:p>
    <w:p>
      <w:pPr>
        <w:pStyle w:val="BodyText"/>
        <w:spacing w:before="5"/>
        <w:rPr>
          <w:sz w:val="16"/>
        </w:rPr>
      </w:pPr>
    </w:p>
    <w:p>
      <w:pPr>
        <w:pStyle w:val="Heading4"/>
      </w:pPr>
      <w:r>
        <w:rPr/>
        <w:t>Introduction</w:t>
      </w:r>
    </w:p>
    <w:p>
      <w:pPr>
        <w:pStyle w:val="Heading5"/>
        <w:spacing w:line="204" w:lineRule="auto" w:before="190"/>
        <w:ind w:left="220" w:right="937" w:firstLine="0"/>
      </w:pPr>
      <w:r>
        <w:rPr/>
        <w:t>HUD defines a disproportionately greater housing need when a racial or ethnic group experiences housing problems at a rate over 10 percentage points more than that of the corresponding income level as a whole. The data table below summarizes the percentage of each racial/ethnic group experiencing housing problems by HUD Adjusted Median Family Income (HAMFI) levels, as defined in the overview. Housing problems include:</w:t>
      </w:r>
    </w:p>
    <w:p>
      <w:pPr>
        <w:pStyle w:val="ListParagraph"/>
        <w:numPr>
          <w:ilvl w:val="0"/>
          <w:numId w:val="6"/>
        </w:numPr>
        <w:tabs>
          <w:tab w:pos="939" w:val="left" w:leader="none"/>
          <w:tab w:pos="940" w:val="left" w:leader="none"/>
        </w:tabs>
        <w:spacing w:line="271" w:lineRule="exact" w:before="166" w:after="0"/>
        <w:ind w:left="940" w:right="0" w:hanging="360"/>
        <w:jc w:val="left"/>
        <w:rPr>
          <w:sz w:val="24"/>
        </w:rPr>
      </w:pPr>
      <w:r>
        <w:rPr>
          <w:sz w:val="24"/>
        </w:rPr>
        <w:t>Housing units lacking complete kitchen facilities and/or complete plumbing facilities</w:t>
      </w:r>
    </w:p>
    <w:p>
      <w:pPr>
        <w:pStyle w:val="ListParagraph"/>
        <w:numPr>
          <w:ilvl w:val="0"/>
          <w:numId w:val="6"/>
        </w:numPr>
        <w:tabs>
          <w:tab w:pos="939" w:val="left" w:leader="none"/>
          <w:tab w:pos="940" w:val="left" w:leader="none"/>
        </w:tabs>
        <w:spacing w:line="249" w:lineRule="exact" w:before="0" w:after="0"/>
        <w:ind w:left="940" w:right="0" w:hanging="360"/>
        <w:jc w:val="left"/>
        <w:rPr>
          <w:sz w:val="24"/>
        </w:rPr>
      </w:pPr>
      <w:r>
        <w:rPr>
          <w:sz w:val="24"/>
        </w:rPr>
        <w:t>Overcrowding (more than one person per room)</w:t>
      </w:r>
    </w:p>
    <w:p>
      <w:pPr>
        <w:pStyle w:val="ListParagraph"/>
        <w:numPr>
          <w:ilvl w:val="0"/>
          <w:numId w:val="6"/>
        </w:numPr>
        <w:tabs>
          <w:tab w:pos="939" w:val="left" w:leader="none"/>
          <w:tab w:pos="940" w:val="left" w:leader="none"/>
        </w:tabs>
        <w:spacing w:line="271" w:lineRule="exact" w:before="0" w:after="0"/>
        <w:ind w:left="940" w:right="0" w:hanging="360"/>
        <w:jc w:val="left"/>
        <w:rPr>
          <w:sz w:val="24"/>
        </w:rPr>
      </w:pPr>
      <w:r>
        <w:rPr>
          <w:sz w:val="24"/>
        </w:rPr>
        <w:t>Housing costs greater than 30% of income (i.e. cost burden)</w:t>
      </w:r>
    </w:p>
    <w:p>
      <w:pPr>
        <w:spacing w:before="156"/>
        <w:ind w:left="220" w:right="0" w:firstLine="0"/>
        <w:jc w:val="left"/>
        <w:rPr>
          <w:b/>
          <w:sz w:val="24"/>
        </w:rPr>
      </w:pPr>
      <w:r>
        <w:rPr>
          <w:b/>
          <w:sz w:val="24"/>
        </w:rPr>
        <w:t>0%-30% of Area Median Income</w:t>
      </w: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924"/>
              <w:rPr>
                <w:b/>
                <w:sz w:val="22"/>
              </w:rPr>
            </w:pPr>
            <w:r>
              <w:rPr>
                <w:b/>
                <w:sz w:val="22"/>
              </w:rPr>
              <w:t>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6,864</w:t>
            </w:r>
          </w:p>
        </w:tc>
        <w:tc>
          <w:tcPr>
            <w:tcW w:w="1948" w:type="dxa"/>
          </w:tcPr>
          <w:p>
            <w:pPr>
              <w:pStyle w:val="TableParagraph"/>
              <w:spacing w:line="258" w:lineRule="exact"/>
              <w:ind w:right="100"/>
              <w:jc w:val="right"/>
              <w:rPr>
                <w:sz w:val="22"/>
              </w:rPr>
            </w:pPr>
            <w:r>
              <w:rPr>
                <w:sz w:val="22"/>
              </w:rPr>
              <w:t>605</w:t>
            </w:r>
          </w:p>
        </w:tc>
        <w:tc>
          <w:tcPr>
            <w:tcW w:w="1948" w:type="dxa"/>
          </w:tcPr>
          <w:p>
            <w:pPr>
              <w:pStyle w:val="TableParagraph"/>
              <w:spacing w:line="258" w:lineRule="exact"/>
              <w:ind w:right="100"/>
              <w:jc w:val="right"/>
              <w:rPr>
                <w:sz w:val="22"/>
              </w:rPr>
            </w:pPr>
            <w:r>
              <w:rPr>
                <w:sz w:val="22"/>
              </w:rPr>
              <w:t>1,425</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5,280</w:t>
            </w:r>
          </w:p>
        </w:tc>
        <w:tc>
          <w:tcPr>
            <w:tcW w:w="1948" w:type="dxa"/>
          </w:tcPr>
          <w:p>
            <w:pPr>
              <w:pStyle w:val="TableParagraph"/>
              <w:spacing w:before="1"/>
              <w:ind w:right="100"/>
              <w:jc w:val="right"/>
              <w:rPr>
                <w:sz w:val="22"/>
              </w:rPr>
            </w:pPr>
            <w:r>
              <w:rPr>
                <w:sz w:val="22"/>
              </w:rPr>
              <w:t>475</w:t>
            </w:r>
          </w:p>
        </w:tc>
        <w:tc>
          <w:tcPr>
            <w:tcW w:w="1948" w:type="dxa"/>
          </w:tcPr>
          <w:p>
            <w:pPr>
              <w:pStyle w:val="TableParagraph"/>
              <w:spacing w:before="1"/>
              <w:ind w:right="100"/>
              <w:jc w:val="right"/>
              <w:rPr>
                <w:sz w:val="22"/>
              </w:rPr>
            </w:pPr>
            <w:r>
              <w:rPr>
                <w:sz w:val="22"/>
              </w:rPr>
              <w:t>515</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355</w:t>
            </w:r>
          </w:p>
        </w:tc>
        <w:tc>
          <w:tcPr>
            <w:tcW w:w="1948" w:type="dxa"/>
          </w:tcPr>
          <w:p>
            <w:pPr>
              <w:pStyle w:val="TableParagraph"/>
              <w:spacing w:before="1"/>
              <w:ind w:right="100"/>
              <w:jc w:val="right"/>
              <w:rPr>
                <w:sz w:val="22"/>
              </w:rPr>
            </w:pPr>
            <w:r>
              <w:rPr>
                <w:sz w:val="22"/>
              </w:rPr>
              <w:t>4</w:t>
            </w:r>
          </w:p>
        </w:tc>
        <w:tc>
          <w:tcPr>
            <w:tcW w:w="1948" w:type="dxa"/>
          </w:tcPr>
          <w:p>
            <w:pPr>
              <w:pStyle w:val="TableParagraph"/>
              <w:spacing w:before="1"/>
              <w:ind w:right="100"/>
              <w:jc w:val="right"/>
              <w:rPr>
                <w:sz w:val="22"/>
              </w:rPr>
            </w:pPr>
            <w:r>
              <w:rPr>
                <w:sz w:val="22"/>
              </w:rPr>
              <w:t>60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645</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780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19</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4</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245</w:t>
            </w:r>
          </w:p>
        </w:tc>
        <w:tc>
          <w:tcPr>
            <w:tcW w:w="1948" w:type="dxa"/>
          </w:tcPr>
          <w:p>
            <w:pPr>
              <w:pStyle w:val="TableParagraph"/>
              <w:spacing w:before="1"/>
              <w:ind w:right="100"/>
              <w:jc w:val="right"/>
              <w:rPr>
                <w:sz w:val="22"/>
              </w:rPr>
            </w:pPr>
            <w:r>
              <w:rPr>
                <w:sz w:val="22"/>
              </w:rPr>
              <w:t>40</w:t>
            </w:r>
          </w:p>
        </w:tc>
        <w:tc>
          <w:tcPr>
            <w:tcW w:w="1948" w:type="dxa"/>
          </w:tcPr>
          <w:p>
            <w:pPr>
              <w:pStyle w:val="TableParagraph"/>
              <w:spacing w:before="1"/>
              <w:ind w:right="100"/>
              <w:jc w:val="right"/>
              <w:rPr>
                <w:sz w:val="22"/>
              </w:rPr>
            </w:pPr>
            <w:r>
              <w:rPr>
                <w:sz w:val="22"/>
              </w:rPr>
              <w:t>69</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273" w:right="0" w:firstLine="0"/>
        <w:jc w:val="left"/>
        <w:rPr>
          <w:rFonts w:ascii="Arial"/>
          <w:b/>
          <w:sz w:val="20"/>
        </w:rPr>
      </w:pPr>
      <w:r>
        <w:rPr/>
        <w:br w:type="column"/>
      </w:r>
      <w:r>
        <w:rPr>
          <w:rFonts w:ascii="Arial"/>
          <w:b/>
          <w:sz w:val="20"/>
        </w:rPr>
        <w:t>Table 13 - Disproportionally Greater Need 0 - 30%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spacing w:before="4"/>
        <w:rPr>
          <w:sz w:val="20"/>
        </w:rPr>
      </w:pPr>
    </w:p>
    <w:p>
      <w:pPr>
        <w:pStyle w:val="BodyText"/>
        <w:spacing w:before="55"/>
        <w:ind w:left="220"/>
      </w:pPr>
      <w:r>
        <w:rPr/>
        <w:t>*The four housing problems are:</w:t>
      </w:r>
    </w:p>
    <w:p>
      <w:pPr>
        <w:pStyle w:val="BodyText"/>
        <w:ind w:left="220" w:right="765"/>
      </w:pPr>
      <w:r>
        <w:rPr/>
        <w:t>1. Lacks complete kitchen facilities, 2. Lacks complete plumbing facilities, 3. More than one person per room, 4.Cost Burden greater than 30%</w:t>
      </w:r>
    </w:p>
    <w:p>
      <w:pPr>
        <w:spacing w:after="0"/>
        <w:sectPr>
          <w:type w:val="continuous"/>
          <w:pgSz w:w="12240" w:h="15840"/>
          <w:pgMar w:top="1340" w:bottom="1520" w:left="1220" w:right="880"/>
        </w:sectPr>
      </w:pPr>
    </w:p>
    <w:p>
      <w:pPr>
        <w:pStyle w:val="BodyText"/>
        <w:spacing w:before="6"/>
        <w:rPr>
          <w:sz w:val="25"/>
        </w:rPr>
      </w:pPr>
    </w:p>
    <w:p>
      <w:pPr>
        <w:pStyle w:val="Heading4"/>
        <w:spacing w:before="52"/>
      </w:pPr>
      <w:r>
        <w:rPr/>
        <w:t>30%-50% of Area Median Income</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924"/>
              <w:rPr>
                <w:b/>
                <w:sz w:val="22"/>
              </w:rPr>
            </w:pPr>
            <w:r>
              <w:rPr>
                <w:b/>
                <w:sz w:val="22"/>
              </w:rPr>
              <w:t>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3,335</w:t>
            </w:r>
          </w:p>
        </w:tc>
        <w:tc>
          <w:tcPr>
            <w:tcW w:w="1948" w:type="dxa"/>
          </w:tcPr>
          <w:p>
            <w:pPr>
              <w:pStyle w:val="TableParagraph"/>
              <w:spacing w:line="258" w:lineRule="exact"/>
              <w:ind w:right="100"/>
              <w:jc w:val="right"/>
              <w:rPr>
                <w:sz w:val="22"/>
              </w:rPr>
            </w:pPr>
            <w:r>
              <w:rPr>
                <w:sz w:val="22"/>
              </w:rPr>
              <w:t>695</w:t>
            </w:r>
          </w:p>
        </w:tc>
        <w:tc>
          <w:tcPr>
            <w:tcW w:w="1948" w:type="dxa"/>
          </w:tcPr>
          <w:p>
            <w:pPr>
              <w:pStyle w:val="TableParagraph"/>
              <w:spacing w:line="258" w:lineRule="exact"/>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2,780</w:t>
            </w:r>
          </w:p>
        </w:tc>
        <w:tc>
          <w:tcPr>
            <w:tcW w:w="1948" w:type="dxa"/>
          </w:tcPr>
          <w:p>
            <w:pPr>
              <w:pStyle w:val="TableParagraph"/>
              <w:spacing w:before="1"/>
              <w:ind w:right="100"/>
              <w:jc w:val="right"/>
              <w:rPr>
                <w:sz w:val="22"/>
              </w:rPr>
            </w:pPr>
            <w:r>
              <w:rPr>
                <w:sz w:val="22"/>
              </w:rPr>
              <w:t>590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140</w:t>
            </w:r>
          </w:p>
        </w:tc>
        <w:tc>
          <w:tcPr>
            <w:tcW w:w="1948" w:type="dxa"/>
          </w:tcPr>
          <w:p>
            <w:pPr>
              <w:pStyle w:val="TableParagraph"/>
              <w:spacing w:before="1"/>
              <w:ind w:right="100"/>
              <w:jc w:val="right"/>
              <w:rPr>
                <w:sz w:val="22"/>
              </w:rPr>
            </w:pPr>
            <w:r>
              <w:rPr>
                <w:sz w:val="22"/>
              </w:rPr>
              <w:t>55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195</w:t>
            </w:r>
          </w:p>
        </w:tc>
        <w:tc>
          <w:tcPr>
            <w:tcW w:w="1948" w:type="dxa"/>
          </w:tcPr>
          <w:p>
            <w:pPr>
              <w:pStyle w:val="TableParagraph"/>
              <w:spacing w:before="1"/>
              <w:ind w:right="100"/>
              <w:jc w:val="right"/>
              <w:rPr>
                <w:sz w:val="22"/>
              </w:rPr>
            </w:pPr>
            <w:r>
              <w:rPr>
                <w:sz w:val="22"/>
              </w:rPr>
              <w:t>20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105</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218" w:right="0" w:firstLine="0"/>
        <w:jc w:val="left"/>
        <w:rPr>
          <w:rFonts w:ascii="Arial"/>
          <w:b/>
          <w:sz w:val="20"/>
        </w:rPr>
      </w:pPr>
      <w:r>
        <w:rPr/>
        <w:br w:type="column"/>
      </w:r>
      <w:r>
        <w:rPr>
          <w:rFonts w:ascii="Arial"/>
          <w:b/>
          <w:sz w:val="20"/>
        </w:rPr>
        <w:t>Table 14 - Disproportionally Greater Need 30 - 50%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spacing w:before="4"/>
        <w:rPr>
          <w:sz w:val="20"/>
        </w:rPr>
      </w:pPr>
    </w:p>
    <w:p>
      <w:pPr>
        <w:pStyle w:val="BodyText"/>
        <w:spacing w:before="55"/>
        <w:ind w:left="220"/>
      </w:pPr>
      <w:r>
        <w:rPr/>
        <w:t>*The four housing problems are:</w:t>
      </w:r>
    </w:p>
    <w:p>
      <w:pPr>
        <w:pStyle w:val="BodyText"/>
        <w:ind w:left="220" w:right="765"/>
      </w:pPr>
      <w:r>
        <w:rPr/>
        <w:t>1. Lacks complete kitchen facilities, 2. Lacks complete plumbing facilities, 3. More than one person per room, 4.Cost Burden greater than 30%</w:t>
      </w:r>
    </w:p>
    <w:p>
      <w:pPr>
        <w:pStyle w:val="BodyText"/>
      </w:pPr>
    </w:p>
    <w:p>
      <w:pPr>
        <w:pStyle w:val="BodyText"/>
      </w:pPr>
    </w:p>
    <w:p>
      <w:pPr>
        <w:pStyle w:val="Heading4"/>
        <w:spacing w:before="1"/>
      </w:pPr>
      <w:r>
        <w:rPr/>
        <w:t>50%-80% of Area Median Income</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924"/>
              <w:rPr>
                <w:b/>
                <w:sz w:val="22"/>
              </w:rPr>
            </w:pPr>
            <w:r>
              <w:rPr>
                <w:b/>
                <w:sz w:val="22"/>
              </w:rPr>
              <w:t>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2,405</w:t>
            </w:r>
          </w:p>
        </w:tc>
        <w:tc>
          <w:tcPr>
            <w:tcW w:w="1948" w:type="dxa"/>
          </w:tcPr>
          <w:p>
            <w:pPr>
              <w:pStyle w:val="TableParagraph"/>
              <w:spacing w:line="258" w:lineRule="exact"/>
              <w:ind w:right="100"/>
              <w:jc w:val="right"/>
              <w:rPr>
                <w:sz w:val="22"/>
              </w:rPr>
            </w:pPr>
            <w:r>
              <w:rPr>
                <w:sz w:val="22"/>
              </w:rPr>
              <w:t>2,415</w:t>
            </w:r>
          </w:p>
        </w:tc>
        <w:tc>
          <w:tcPr>
            <w:tcW w:w="1948" w:type="dxa"/>
          </w:tcPr>
          <w:p>
            <w:pPr>
              <w:pStyle w:val="TableParagraph"/>
              <w:spacing w:line="258" w:lineRule="exact"/>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1,920</w:t>
            </w:r>
          </w:p>
        </w:tc>
        <w:tc>
          <w:tcPr>
            <w:tcW w:w="1948" w:type="dxa"/>
          </w:tcPr>
          <w:p>
            <w:pPr>
              <w:pStyle w:val="TableParagraph"/>
              <w:spacing w:before="1"/>
              <w:ind w:right="100"/>
              <w:jc w:val="right"/>
              <w:rPr>
                <w:sz w:val="22"/>
              </w:rPr>
            </w:pPr>
            <w:r>
              <w:rPr>
                <w:sz w:val="22"/>
              </w:rPr>
              <w:t>1,990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165</w:t>
            </w:r>
          </w:p>
        </w:tc>
        <w:tc>
          <w:tcPr>
            <w:tcW w:w="1948" w:type="dxa"/>
          </w:tcPr>
          <w:p>
            <w:pPr>
              <w:pStyle w:val="TableParagraph"/>
              <w:spacing w:before="1"/>
              <w:ind w:right="100"/>
              <w:jc w:val="right"/>
              <w:rPr>
                <w:sz w:val="22"/>
              </w:rPr>
            </w:pPr>
            <w:r>
              <w:rPr>
                <w:sz w:val="22"/>
              </w:rPr>
              <w:t>75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115</w:t>
            </w:r>
          </w:p>
        </w:tc>
        <w:tc>
          <w:tcPr>
            <w:tcW w:w="1948" w:type="dxa"/>
          </w:tcPr>
          <w:p>
            <w:pPr>
              <w:pStyle w:val="TableParagraph"/>
              <w:spacing w:before="1"/>
              <w:ind w:right="100"/>
              <w:jc w:val="right"/>
              <w:rPr>
                <w:sz w:val="22"/>
              </w:rPr>
            </w:pPr>
            <w:r>
              <w:rPr>
                <w:sz w:val="22"/>
              </w:rPr>
              <w:t>190</w:t>
            </w:r>
          </w:p>
        </w:tc>
        <w:tc>
          <w:tcPr>
            <w:tcW w:w="1948" w:type="dxa"/>
          </w:tcPr>
          <w:p>
            <w:pPr>
              <w:pStyle w:val="TableParagraph"/>
              <w:spacing w:before="1"/>
              <w:ind w:right="100"/>
              <w:jc w:val="right"/>
              <w:rPr>
                <w:sz w:val="22"/>
              </w:rPr>
            </w:pPr>
            <w:r>
              <w:rPr>
                <w:sz w:val="22"/>
              </w:rPr>
              <w:t>0</w:t>
            </w:r>
          </w:p>
        </w:tc>
      </w:tr>
    </w:tbl>
    <w:p>
      <w:pPr>
        <w:spacing w:after="0"/>
        <w:jc w:val="right"/>
        <w:rPr>
          <w:sz w:val="22"/>
        </w:rPr>
        <w:sectPr>
          <w:type w:val="continuous"/>
          <w:pgSz w:w="12240" w:h="15840"/>
          <w:pgMar w:top="1340" w:bottom="1520" w:left="1220" w:right="880"/>
        </w:sectPr>
      </w:pPr>
    </w:p>
    <w:p>
      <w:pPr>
        <w:pStyle w:val="BodyText"/>
        <w:spacing w:before="11"/>
        <w:rPr>
          <w:b/>
          <w:sz w:val="6"/>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19</w:t>
            </w:r>
          </w:p>
        </w:tc>
        <w:tc>
          <w:tcPr>
            <w:tcW w:w="1948" w:type="dxa"/>
          </w:tcPr>
          <w:p>
            <w:pPr>
              <w:pStyle w:val="TableParagraph"/>
              <w:spacing w:before="1"/>
              <w:ind w:right="100"/>
              <w:jc w:val="right"/>
              <w:rPr>
                <w:sz w:val="22"/>
              </w:rPr>
            </w:pPr>
            <w:r>
              <w:rPr>
                <w:sz w:val="22"/>
              </w:rPr>
              <w:t>35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115</w:t>
            </w:r>
          </w:p>
        </w:tc>
        <w:tc>
          <w:tcPr>
            <w:tcW w:w="1948" w:type="dxa"/>
          </w:tcPr>
          <w:p>
            <w:pPr>
              <w:pStyle w:val="TableParagraph"/>
              <w:spacing w:before="1"/>
              <w:ind w:right="100"/>
              <w:jc w:val="right"/>
              <w:rPr>
                <w:sz w:val="22"/>
              </w:rPr>
            </w:pPr>
            <w:r>
              <w:rPr>
                <w:sz w:val="22"/>
              </w:rPr>
              <w:t>80</w:t>
            </w:r>
          </w:p>
        </w:tc>
        <w:tc>
          <w:tcPr>
            <w:tcW w:w="1948" w:type="dxa"/>
          </w:tcPr>
          <w:p>
            <w:pPr>
              <w:pStyle w:val="TableParagraph"/>
              <w:spacing w:before="1"/>
              <w:ind w:right="100"/>
              <w:jc w:val="right"/>
              <w:rPr>
                <w:sz w:val="22"/>
              </w:rPr>
            </w:pPr>
            <w:r>
              <w:rPr>
                <w:sz w:val="22"/>
              </w:rPr>
              <w:t>0</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218" w:right="0" w:firstLine="0"/>
        <w:jc w:val="left"/>
        <w:rPr>
          <w:rFonts w:ascii="Arial"/>
          <w:b/>
          <w:sz w:val="20"/>
        </w:rPr>
      </w:pPr>
      <w:r>
        <w:rPr/>
        <w:br w:type="column"/>
      </w:r>
      <w:r>
        <w:rPr>
          <w:rFonts w:ascii="Arial"/>
          <w:b/>
          <w:sz w:val="20"/>
        </w:rPr>
        <w:t>Table 15 - Disproportionally Greater Need 50 - 80%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spacing w:before="4"/>
        <w:rPr>
          <w:sz w:val="20"/>
        </w:rPr>
      </w:pPr>
    </w:p>
    <w:p>
      <w:pPr>
        <w:pStyle w:val="BodyText"/>
        <w:spacing w:before="56"/>
        <w:ind w:left="220"/>
      </w:pPr>
      <w:r>
        <w:rPr/>
        <w:t>*The four housing problems are:</w:t>
      </w:r>
    </w:p>
    <w:p>
      <w:pPr>
        <w:pStyle w:val="BodyText"/>
        <w:spacing w:line="276" w:lineRule="auto"/>
        <w:ind w:left="220" w:right="569"/>
      </w:pPr>
      <w:r>
        <w:rPr/>
        <w:t>1. Lacks complete kitchen facilities, 2. Lacks complete plumbing facilities, 3. More than one person </w:t>
      </w:r>
      <w:r>
        <w:rPr>
          <w:spacing w:val="-6"/>
        </w:rPr>
        <w:t>per </w:t>
      </w:r>
      <w:r>
        <w:rPr/>
        <w:t>room, 4.Cost Burden greater than 30%</w:t>
      </w:r>
    </w:p>
    <w:p>
      <w:pPr>
        <w:pStyle w:val="BodyText"/>
        <w:spacing w:before="5"/>
        <w:rPr>
          <w:sz w:val="16"/>
        </w:rPr>
      </w:pPr>
    </w:p>
    <w:p>
      <w:pPr>
        <w:pStyle w:val="Heading4"/>
      </w:pPr>
      <w:r>
        <w:rPr/>
        <w:t>80%-100% of Area Median Income</w:t>
      </w:r>
    </w:p>
    <w:p>
      <w:pPr>
        <w:pStyle w:val="BodyText"/>
        <w:spacing w:before="7" w:after="1"/>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10"/>
              <w:jc w:val="center"/>
              <w:rPr>
                <w:b/>
                <w:sz w:val="22"/>
              </w:rPr>
            </w:pPr>
            <w:r>
              <w:rPr>
                <w:b/>
                <w:sz w:val="22"/>
              </w:rPr>
              <w:t>9</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430</w:t>
            </w:r>
          </w:p>
        </w:tc>
        <w:tc>
          <w:tcPr>
            <w:tcW w:w="1948" w:type="dxa"/>
          </w:tcPr>
          <w:p>
            <w:pPr>
              <w:pStyle w:val="TableParagraph"/>
              <w:spacing w:line="258" w:lineRule="exact"/>
              <w:ind w:right="100"/>
              <w:jc w:val="right"/>
              <w:rPr>
                <w:sz w:val="22"/>
              </w:rPr>
            </w:pPr>
            <w:r>
              <w:rPr>
                <w:sz w:val="22"/>
              </w:rPr>
              <w:t>2,085</w:t>
            </w:r>
          </w:p>
        </w:tc>
        <w:tc>
          <w:tcPr>
            <w:tcW w:w="1948" w:type="dxa"/>
          </w:tcPr>
          <w:p>
            <w:pPr>
              <w:pStyle w:val="TableParagraph"/>
              <w:spacing w:line="258" w:lineRule="exact"/>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395</w:t>
            </w:r>
          </w:p>
        </w:tc>
        <w:tc>
          <w:tcPr>
            <w:tcW w:w="1948" w:type="dxa"/>
          </w:tcPr>
          <w:p>
            <w:pPr>
              <w:pStyle w:val="TableParagraph"/>
              <w:spacing w:before="1"/>
              <w:ind w:right="100"/>
              <w:jc w:val="right"/>
              <w:rPr>
                <w:sz w:val="22"/>
              </w:rPr>
            </w:pPr>
            <w:r>
              <w:rPr>
                <w:sz w:val="22"/>
              </w:rPr>
              <w:t>1,840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15</w:t>
            </w:r>
          </w:p>
        </w:tc>
        <w:tc>
          <w:tcPr>
            <w:tcW w:w="1948" w:type="dxa"/>
          </w:tcPr>
          <w:p>
            <w:pPr>
              <w:pStyle w:val="TableParagraph"/>
              <w:spacing w:before="1"/>
              <w:ind w:right="100"/>
              <w:jc w:val="right"/>
              <w:rPr>
                <w:sz w:val="22"/>
              </w:rPr>
            </w:pPr>
            <w:r>
              <w:rPr>
                <w:sz w:val="22"/>
              </w:rPr>
              <w:t>85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10</w:t>
            </w:r>
          </w:p>
        </w:tc>
        <w:tc>
          <w:tcPr>
            <w:tcW w:w="1948" w:type="dxa"/>
          </w:tcPr>
          <w:p>
            <w:pPr>
              <w:pStyle w:val="TableParagraph"/>
              <w:spacing w:before="1"/>
              <w:ind w:right="100"/>
              <w:jc w:val="right"/>
              <w:rPr>
                <w:sz w:val="22"/>
              </w:rPr>
            </w:pPr>
            <w:r>
              <w:rPr>
                <w:sz w:val="22"/>
              </w:rPr>
              <w:t>25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4</w:t>
            </w:r>
          </w:p>
        </w:tc>
        <w:tc>
          <w:tcPr>
            <w:tcW w:w="1948" w:type="dxa"/>
          </w:tcPr>
          <w:p>
            <w:pPr>
              <w:pStyle w:val="TableParagraph"/>
              <w:spacing w:before="1"/>
              <w:ind w:right="100"/>
              <w:jc w:val="right"/>
              <w:rPr>
                <w:sz w:val="22"/>
              </w:rPr>
            </w:pPr>
            <w:r>
              <w:rPr>
                <w:sz w:val="22"/>
              </w:rPr>
              <w:t>75</w:t>
            </w:r>
          </w:p>
        </w:tc>
        <w:tc>
          <w:tcPr>
            <w:tcW w:w="1948" w:type="dxa"/>
          </w:tcPr>
          <w:p>
            <w:pPr>
              <w:pStyle w:val="TableParagraph"/>
              <w:spacing w:before="1"/>
              <w:ind w:right="100"/>
              <w:jc w:val="right"/>
              <w:rPr>
                <w:sz w:val="22"/>
              </w:rPr>
            </w:pPr>
            <w:r>
              <w:rPr>
                <w:sz w:val="22"/>
              </w:rPr>
              <w:t>0</w:t>
            </w:r>
          </w:p>
        </w:tc>
      </w:tr>
    </w:tbl>
    <w:p>
      <w:pPr>
        <w:spacing w:after="0"/>
        <w:jc w:val="right"/>
        <w:rPr>
          <w:sz w:val="22"/>
        </w:rPr>
        <w:sectPr>
          <w:type w:val="continuous"/>
          <w:pgSz w:w="12240" w:h="15840"/>
          <w:pgMar w:top="1340" w:bottom="152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162" w:right="0" w:firstLine="0"/>
        <w:jc w:val="left"/>
        <w:rPr>
          <w:rFonts w:ascii="Arial"/>
          <w:b/>
          <w:sz w:val="20"/>
        </w:rPr>
      </w:pPr>
      <w:r>
        <w:rPr/>
        <w:br w:type="column"/>
      </w:r>
      <w:r>
        <w:rPr>
          <w:rFonts w:ascii="Arial"/>
          <w:b/>
          <w:sz w:val="20"/>
        </w:rPr>
        <w:t>Table 16 - Disproportionally Greater Need 80 - 100%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spacing w:before="4"/>
        <w:rPr>
          <w:sz w:val="20"/>
        </w:rPr>
      </w:pPr>
    </w:p>
    <w:p>
      <w:pPr>
        <w:pStyle w:val="BodyText"/>
        <w:spacing w:before="55"/>
        <w:ind w:left="220"/>
      </w:pPr>
      <w:r>
        <w:rPr/>
        <w:t>*The four housing problems are:</w:t>
      </w:r>
    </w:p>
    <w:p>
      <w:pPr>
        <w:pStyle w:val="BodyText"/>
        <w:spacing w:line="276" w:lineRule="auto"/>
        <w:ind w:left="220" w:right="765"/>
      </w:pPr>
      <w:r>
        <w:rPr/>
        <w:t>1. Lacks complete kitchen facilities, 2. Lacks complete plumbing facilities, 3. More than one person per room, 4.Cost Burden greater than 30%</w:t>
      </w:r>
    </w:p>
    <w:p>
      <w:pPr>
        <w:pStyle w:val="BodyText"/>
        <w:spacing w:before="3"/>
        <w:rPr>
          <w:sz w:val="19"/>
        </w:rPr>
      </w:pPr>
    </w:p>
    <w:p>
      <w:pPr>
        <w:pStyle w:val="Heading5"/>
        <w:spacing w:line="204" w:lineRule="auto"/>
        <w:ind w:left="220" w:right="678" w:firstLine="0"/>
      </w:pPr>
      <w:r>
        <w:rPr/>
        <w:t>Like many surrounding communities, certain racial and ethnic groups in Bloomington experience disproportionately greater needs compared to the overall population. This assessment focuses on the African American and Hispanic/Latino communities, which face unique challenges related to housing, economic opportunity, and social services. Specifically, Black/African American Households earning 50-80% AMI experience housing problems at a</w:t>
      </w:r>
    </w:p>
    <w:p>
      <w:pPr>
        <w:spacing w:after="0" w:line="204" w:lineRule="auto"/>
        <w:sectPr>
          <w:type w:val="continuous"/>
          <w:pgSz w:w="12240" w:h="15840"/>
          <w:pgMar w:top="1340" w:bottom="1520" w:left="1220" w:right="880"/>
        </w:sectPr>
      </w:pPr>
    </w:p>
    <w:p>
      <w:pPr>
        <w:spacing w:line="204" w:lineRule="auto" w:before="128"/>
        <w:ind w:left="220" w:right="660" w:firstLine="0"/>
        <w:jc w:val="left"/>
        <w:rPr>
          <w:sz w:val="24"/>
        </w:rPr>
      </w:pPr>
      <w:r>
        <w:rPr>
          <w:sz w:val="24"/>
        </w:rPr>
        <w:t>disproportionate rate while Hispanic households earning 30-80% experience housing problems at a disproportionate rate.</w:t>
      </w:r>
    </w:p>
    <w:p>
      <w:pPr>
        <w:spacing w:line="204" w:lineRule="auto" w:before="200"/>
        <w:ind w:left="220" w:right="585" w:firstLine="0"/>
        <w:jc w:val="left"/>
        <w:rPr>
          <w:sz w:val="24"/>
        </w:rPr>
      </w:pPr>
      <w:r>
        <w:rPr>
          <w:sz w:val="24"/>
        </w:rPr>
        <w:t>African American households in Bloomington often experience higher unemployment rates and lower income levels compared to their white counterparts. This economic disparity affects their ability to secure stable housing and access essential services. There is a notable prevalence of housing cost burdens within the African American community, with many families spending more than 30% of their income on housing. This increases the risk of eviction and homelessness. Educational attainment among African Americans in Bloomington may be lower, impacting job prospects. The community faces barriers to accessing higher-paying jobs and career advancement opportunities. Additionally, African Americans often experience higher rates of health issues, including chronic illnesses, which can affect their economic stability and housing security.</w:t>
      </w:r>
    </w:p>
    <w:p>
      <w:pPr>
        <w:spacing w:line="204" w:lineRule="auto" w:before="200"/>
        <w:ind w:left="220" w:right="597" w:firstLine="0"/>
        <w:jc w:val="left"/>
        <w:rPr>
          <w:sz w:val="24"/>
        </w:rPr>
      </w:pPr>
      <w:r>
        <w:rPr>
          <w:sz w:val="24"/>
        </w:rPr>
        <w:t>Many Hispanic/Latino individuals face language barriers that complicate their access to housing resources, employment opportunities, and social services. This limits their ability to advocate for themselves and navigate the system effectively. Like the African American community, Hispanic/Latino families may experience higher poverty rates and lower wages. This economic insecurity impacts their ability to afford housing and basic necessities. Some members of the Hispanic/Latino community may face challenges related to immigration status, which can limit access to certain services and job opportunities. This creates a cycle of vulnerability and instability. Additionally, a lack of culturally competent services can hinder the ability of Hispanic/Latino families to access healthcare, education, and social services, exacerbating their needs.</w:t>
      </w:r>
    </w:p>
    <w:p>
      <w:pPr>
        <w:spacing w:line="204" w:lineRule="auto" w:before="200"/>
        <w:ind w:left="220" w:right="540" w:firstLine="0"/>
        <w:jc w:val="left"/>
        <w:rPr>
          <w:sz w:val="24"/>
        </w:rPr>
      </w:pPr>
      <w:r>
        <w:rPr>
          <w:sz w:val="24"/>
        </w:rPr>
        <w:t>When compared to the needs of the population as a whole, both the African American and Hispanic/Latino communities in Bloomington exhibit disproportionately greater challenges related to housing instability and economic disparities. These groups are more likely to face eviction and homelessness compared to white residents, who may have more access to stable housing and resources. Higher poverty rates and lower income levels among these communities underscore the economic inequalities that contribute to their needs. Language barriers, cultural disconnection, and systemic barriers can prevent these racial and ethnic groups from accessing necessary services, further entrenching their challenges.</w:t>
      </w:r>
    </w:p>
    <w:p>
      <w:pPr>
        <w:spacing w:line="204" w:lineRule="auto" w:before="200"/>
        <w:ind w:left="220" w:right="733" w:firstLine="0"/>
        <w:jc w:val="left"/>
        <w:rPr>
          <w:sz w:val="24"/>
        </w:rPr>
      </w:pPr>
      <w:r>
        <w:rPr>
          <w:sz w:val="24"/>
        </w:rPr>
        <w:t>The assessment indicates that the African American and Hispanic/Latino communities in Bloomington face significant challenges that place them at a disproportionately greater risk compared to the overall population. Addressing these needs requires targeted interventions, such as affordable housing initiatives, employment programs, and culturally competent services, to ensure that these communities can achieve stability and equity. Collaborative efforts among local government, community organizations, and advocacy groups are essential in creating an inclusive environment that addresses these disparities effectively.</w:t>
      </w:r>
    </w:p>
    <w:p>
      <w:pPr>
        <w:spacing w:after="0" w:line="204" w:lineRule="auto"/>
        <w:jc w:val="left"/>
        <w:rPr>
          <w:sz w:val="24"/>
        </w:rPr>
        <w:sectPr>
          <w:pgSz w:w="12240" w:h="15840"/>
          <w:pgMar w:header="769" w:footer="1321" w:top="1340" w:bottom="1540" w:left="1220" w:right="880"/>
        </w:sectPr>
      </w:pPr>
    </w:p>
    <w:p>
      <w:pPr>
        <w:pStyle w:val="BodyText"/>
        <w:spacing w:before="4"/>
        <w:rPr>
          <w:sz w:val="7"/>
        </w:rPr>
      </w:pPr>
    </w:p>
    <w:p>
      <w:pPr>
        <w:pStyle w:val="BodyText"/>
        <w:ind w:left="2200"/>
        <w:rPr>
          <w:sz w:val="20"/>
        </w:rPr>
      </w:pPr>
      <w:r>
        <w:rPr>
          <w:sz w:val="20"/>
        </w:rPr>
        <w:drawing>
          <wp:inline distT="0" distB="0" distL="0" distR="0">
            <wp:extent cx="3370362" cy="210959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3370362" cy="2109597"/>
                    </a:xfrm>
                    <a:prstGeom prst="rect">
                      <a:avLst/>
                    </a:prstGeom>
                  </pic:spPr>
                </pic:pic>
              </a:graphicData>
            </a:graphic>
          </wp:inline>
        </w:drawing>
      </w:r>
      <w:r>
        <w:rPr>
          <w:sz w:val="20"/>
        </w:rPr>
      </w:r>
    </w:p>
    <w:p>
      <w:pPr>
        <w:spacing w:after="0"/>
        <w:rPr>
          <w:sz w:val="20"/>
        </w:rPr>
        <w:sectPr>
          <w:pgSz w:w="12240" w:h="15840"/>
          <w:pgMar w:header="769" w:footer="1321" w:top="1340" w:bottom="1540" w:left="1220" w:right="880"/>
        </w:sectPr>
      </w:pPr>
    </w:p>
    <w:p>
      <w:pPr>
        <w:pStyle w:val="BodyText"/>
        <w:rPr>
          <w:sz w:val="18"/>
        </w:rPr>
      </w:pPr>
    </w:p>
    <w:p>
      <w:pPr>
        <w:spacing w:before="36"/>
        <w:ind w:left="220" w:right="0" w:firstLine="0"/>
        <w:jc w:val="left"/>
        <w:rPr>
          <w:b/>
          <w:sz w:val="32"/>
        </w:rPr>
      </w:pPr>
      <w:r>
        <w:rPr>
          <w:b/>
          <w:color w:val="0E4661"/>
          <w:sz w:val="32"/>
        </w:rPr>
        <w:t>NA-20 Disproportionately Greater Need: Severe Housing Problems –</w:t>
      </w:r>
    </w:p>
    <w:p>
      <w:pPr>
        <w:spacing w:before="59"/>
        <w:ind w:left="220" w:right="0" w:firstLine="0"/>
        <w:jc w:val="left"/>
        <w:rPr>
          <w:b/>
          <w:sz w:val="32"/>
        </w:rPr>
      </w:pPr>
      <w:r>
        <w:rPr>
          <w:b/>
          <w:color w:val="0E4661"/>
          <w:sz w:val="32"/>
        </w:rPr>
        <w:t>91.205 (b)(2)</w:t>
      </w:r>
    </w:p>
    <w:p>
      <w:pPr>
        <w:pStyle w:val="BodyText"/>
        <w:spacing w:line="276" w:lineRule="auto" w:before="136"/>
        <w:ind w:left="220" w:right="661"/>
      </w:pPr>
      <w:r>
        <w:rPr/>
        <w:t>Assess the need of any racial or ethnic group that has disproportionately greater need in comparison to the needs of that category of need as a whole.</w:t>
      </w:r>
    </w:p>
    <w:p>
      <w:pPr>
        <w:pStyle w:val="BodyText"/>
        <w:spacing w:before="5"/>
        <w:rPr>
          <w:sz w:val="16"/>
        </w:rPr>
      </w:pPr>
    </w:p>
    <w:p>
      <w:pPr>
        <w:pStyle w:val="Heading4"/>
      </w:pPr>
      <w:r>
        <w:rPr/>
        <w:t>Introduction</w:t>
      </w:r>
    </w:p>
    <w:p>
      <w:pPr>
        <w:spacing w:before="156"/>
        <w:ind w:left="220" w:right="0" w:firstLine="0"/>
        <w:jc w:val="left"/>
        <w:rPr>
          <w:b/>
          <w:sz w:val="24"/>
        </w:rPr>
      </w:pPr>
      <w:r>
        <w:rPr>
          <w:b/>
          <w:sz w:val="24"/>
        </w:rPr>
        <w:t>0%-30% of Area Median Income</w:t>
      </w: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536"/>
              <w:rPr>
                <w:b/>
                <w:sz w:val="22"/>
              </w:rPr>
            </w:pPr>
            <w:r>
              <w:rPr>
                <w:b/>
                <w:sz w:val="22"/>
              </w:rPr>
              <w:t>Severe 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6,345</w:t>
            </w:r>
          </w:p>
        </w:tc>
        <w:tc>
          <w:tcPr>
            <w:tcW w:w="1948" w:type="dxa"/>
          </w:tcPr>
          <w:p>
            <w:pPr>
              <w:pStyle w:val="TableParagraph"/>
              <w:spacing w:line="258" w:lineRule="exact"/>
              <w:ind w:right="100"/>
              <w:jc w:val="right"/>
              <w:rPr>
                <w:sz w:val="22"/>
              </w:rPr>
            </w:pPr>
            <w:r>
              <w:rPr>
                <w:sz w:val="22"/>
              </w:rPr>
              <w:t>1,130</w:t>
            </w:r>
          </w:p>
        </w:tc>
        <w:tc>
          <w:tcPr>
            <w:tcW w:w="1948" w:type="dxa"/>
          </w:tcPr>
          <w:p>
            <w:pPr>
              <w:pStyle w:val="TableParagraph"/>
              <w:spacing w:line="258" w:lineRule="exact"/>
              <w:ind w:right="100"/>
              <w:jc w:val="right"/>
              <w:rPr>
                <w:sz w:val="22"/>
              </w:rPr>
            </w:pPr>
            <w:r>
              <w:rPr>
                <w:sz w:val="22"/>
              </w:rPr>
              <w:t>1,425</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4,925</w:t>
            </w:r>
          </w:p>
        </w:tc>
        <w:tc>
          <w:tcPr>
            <w:tcW w:w="1948" w:type="dxa"/>
          </w:tcPr>
          <w:p>
            <w:pPr>
              <w:pStyle w:val="TableParagraph"/>
              <w:spacing w:before="1"/>
              <w:ind w:right="100"/>
              <w:jc w:val="right"/>
              <w:rPr>
                <w:sz w:val="22"/>
              </w:rPr>
            </w:pPr>
            <w:r>
              <w:rPr>
                <w:sz w:val="22"/>
              </w:rPr>
              <w:t>845</w:t>
            </w:r>
          </w:p>
        </w:tc>
        <w:tc>
          <w:tcPr>
            <w:tcW w:w="1948" w:type="dxa"/>
          </w:tcPr>
          <w:p>
            <w:pPr>
              <w:pStyle w:val="TableParagraph"/>
              <w:spacing w:before="1"/>
              <w:ind w:right="100"/>
              <w:jc w:val="right"/>
              <w:rPr>
                <w:sz w:val="22"/>
              </w:rPr>
            </w:pPr>
            <w:r>
              <w:rPr>
                <w:sz w:val="22"/>
              </w:rPr>
              <w:t>515</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315</w:t>
            </w:r>
          </w:p>
        </w:tc>
        <w:tc>
          <w:tcPr>
            <w:tcW w:w="1948" w:type="dxa"/>
          </w:tcPr>
          <w:p>
            <w:pPr>
              <w:pStyle w:val="TableParagraph"/>
              <w:spacing w:before="1"/>
              <w:ind w:right="100"/>
              <w:jc w:val="right"/>
              <w:rPr>
                <w:sz w:val="22"/>
              </w:rPr>
            </w:pPr>
            <w:r>
              <w:rPr>
                <w:sz w:val="22"/>
              </w:rPr>
              <w:t>45</w:t>
            </w:r>
          </w:p>
        </w:tc>
        <w:tc>
          <w:tcPr>
            <w:tcW w:w="1948" w:type="dxa"/>
          </w:tcPr>
          <w:p>
            <w:pPr>
              <w:pStyle w:val="TableParagraph"/>
              <w:spacing w:before="1"/>
              <w:ind w:right="100"/>
              <w:jc w:val="right"/>
              <w:rPr>
                <w:sz w:val="22"/>
              </w:rPr>
            </w:pPr>
            <w:r>
              <w:rPr>
                <w:sz w:val="22"/>
              </w:rPr>
              <w:t>60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620</w:t>
            </w:r>
          </w:p>
        </w:tc>
        <w:tc>
          <w:tcPr>
            <w:tcW w:w="1948" w:type="dxa"/>
          </w:tcPr>
          <w:p>
            <w:pPr>
              <w:pStyle w:val="TableParagraph"/>
              <w:spacing w:before="1"/>
              <w:ind w:right="100"/>
              <w:jc w:val="right"/>
              <w:rPr>
                <w:sz w:val="22"/>
              </w:rPr>
            </w:pPr>
            <w:r>
              <w:rPr>
                <w:sz w:val="22"/>
              </w:rPr>
              <w:t>25</w:t>
            </w:r>
          </w:p>
        </w:tc>
        <w:tc>
          <w:tcPr>
            <w:tcW w:w="1948" w:type="dxa"/>
          </w:tcPr>
          <w:p>
            <w:pPr>
              <w:pStyle w:val="TableParagraph"/>
              <w:spacing w:before="1"/>
              <w:ind w:right="100"/>
              <w:jc w:val="right"/>
              <w:rPr>
                <w:sz w:val="22"/>
              </w:rPr>
            </w:pPr>
            <w:r>
              <w:rPr>
                <w:sz w:val="22"/>
              </w:rPr>
              <w:t>780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15</w:t>
            </w:r>
          </w:p>
        </w:tc>
        <w:tc>
          <w:tcPr>
            <w:tcW w:w="1948" w:type="dxa"/>
          </w:tcPr>
          <w:p>
            <w:pPr>
              <w:pStyle w:val="TableParagraph"/>
              <w:spacing w:before="1"/>
              <w:ind w:right="100"/>
              <w:jc w:val="right"/>
              <w:rPr>
                <w:sz w:val="22"/>
              </w:rPr>
            </w:pPr>
            <w:r>
              <w:rPr>
                <w:sz w:val="22"/>
              </w:rPr>
              <w:t>4</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4</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229</w:t>
            </w:r>
          </w:p>
        </w:tc>
        <w:tc>
          <w:tcPr>
            <w:tcW w:w="1948" w:type="dxa"/>
          </w:tcPr>
          <w:p>
            <w:pPr>
              <w:pStyle w:val="TableParagraph"/>
              <w:spacing w:before="1"/>
              <w:ind w:right="100"/>
              <w:jc w:val="right"/>
              <w:rPr>
                <w:sz w:val="22"/>
              </w:rPr>
            </w:pPr>
            <w:r>
              <w:rPr>
                <w:sz w:val="22"/>
              </w:rPr>
              <w:t>55</w:t>
            </w:r>
          </w:p>
        </w:tc>
        <w:tc>
          <w:tcPr>
            <w:tcW w:w="1948" w:type="dxa"/>
          </w:tcPr>
          <w:p>
            <w:pPr>
              <w:pStyle w:val="TableParagraph"/>
              <w:spacing w:before="1"/>
              <w:ind w:right="100"/>
              <w:jc w:val="right"/>
              <w:rPr>
                <w:sz w:val="22"/>
              </w:rPr>
            </w:pPr>
            <w:r>
              <w:rPr>
                <w:sz w:val="22"/>
              </w:rPr>
              <w:t>69</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35" w:right="0" w:firstLine="0"/>
        <w:jc w:val="left"/>
        <w:rPr>
          <w:rFonts w:ascii="Arial" w:hAnsi="Arial"/>
          <w:b/>
          <w:sz w:val="20"/>
        </w:rPr>
      </w:pPr>
      <w:r>
        <w:rPr/>
        <w:br w:type="column"/>
      </w:r>
      <w:r>
        <w:rPr>
          <w:rFonts w:ascii="Arial" w:hAnsi="Arial"/>
          <w:b/>
          <w:sz w:val="20"/>
        </w:rPr>
        <w:t>Table 17 – Severe Housing Problems 0 - 30% AMI</w:t>
      </w:r>
    </w:p>
    <w:p>
      <w:pPr>
        <w:spacing w:after="0"/>
        <w:jc w:val="left"/>
        <w:rPr>
          <w:rFonts w:ascii="Arial" w:hAnsi="Arial"/>
          <w:sz w:val="20"/>
        </w:rPr>
        <w:sectPr>
          <w:type w:val="continuous"/>
          <w:pgSz w:w="12240" w:h="15840"/>
          <w:pgMar w:top="1340" w:bottom="1520" w:left="1220" w:right="880"/>
          <w:cols w:num="3" w:equalWidth="0">
            <w:col w:w="872" w:space="198"/>
            <w:col w:w="1421" w:space="40"/>
            <w:col w:w="7609"/>
          </w:cols>
        </w:sectPr>
      </w:pPr>
    </w:p>
    <w:p>
      <w:pPr>
        <w:pStyle w:val="BodyText"/>
        <w:spacing w:before="6"/>
        <w:rPr>
          <w:rFonts w:ascii="Arial"/>
          <w:b/>
          <w:sz w:val="21"/>
        </w:rPr>
      </w:pPr>
    </w:p>
    <w:p>
      <w:pPr>
        <w:pStyle w:val="BodyText"/>
        <w:spacing w:before="56"/>
        <w:ind w:left="220"/>
      </w:pPr>
      <w:r>
        <w:rPr/>
        <w:t>*The four severe housing problems are:</w:t>
      </w:r>
    </w:p>
    <w:p>
      <w:pPr>
        <w:pStyle w:val="BodyText"/>
        <w:ind w:left="220" w:right="742"/>
      </w:pPr>
      <w:r>
        <w:rPr/>
        <w:t>1. Lacks complete kitchen facilities, 2. Lacks complete plumbing facilities, 3. More than 1.5 persons per room, 4.Cost Burden over 50%</w:t>
      </w:r>
    </w:p>
    <w:p>
      <w:pPr>
        <w:pStyle w:val="BodyText"/>
      </w:pPr>
    </w:p>
    <w:p>
      <w:pPr>
        <w:pStyle w:val="BodyText"/>
      </w:pPr>
    </w:p>
    <w:p>
      <w:pPr>
        <w:pStyle w:val="Heading4"/>
      </w:pPr>
      <w:r>
        <w:rPr/>
        <w:t>30%-50% of Area Median Income</w:t>
      </w: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536"/>
              <w:rPr>
                <w:b/>
                <w:sz w:val="22"/>
              </w:rPr>
            </w:pPr>
            <w:r>
              <w:rPr>
                <w:b/>
                <w:sz w:val="22"/>
              </w:rPr>
              <w:t>Severe 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bl>
    <w:p>
      <w:pPr>
        <w:spacing w:after="0" w:line="270" w:lineRule="atLeast"/>
        <w:jc w:val="center"/>
        <w:rPr>
          <w:sz w:val="22"/>
        </w:rPr>
        <w:sectPr>
          <w:type w:val="continuous"/>
          <w:pgSz w:w="12240" w:h="15840"/>
          <w:pgMar w:top="1340" w:bottom="1520" w:left="1220" w:right="880"/>
        </w:sectPr>
      </w:pPr>
    </w:p>
    <w:p>
      <w:pPr>
        <w:pStyle w:val="BodyText"/>
        <w:spacing w:before="11"/>
        <w:rPr>
          <w:b/>
          <w:sz w:val="6"/>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503" w:hRule="atLeast"/>
        </w:trPr>
        <w:tc>
          <w:tcPr>
            <w:tcW w:w="3507" w:type="dxa"/>
          </w:tcPr>
          <w:p>
            <w:pPr>
              <w:pStyle w:val="TableParagraph"/>
              <w:spacing w:before="1"/>
              <w:ind w:left="112"/>
              <w:rPr>
                <w:sz w:val="22"/>
              </w:rPr>
            </w:pPr>
            <w:r>
              <w:rPr>
                <w:sz w:val="22"/>
              </w:rPr>
              <w:t>Jurisdiction as a whole</w:t>
            </w:r>
          </w:p>
        </w:tc>
        <w:tc>
          <w:tcPr>
            <w:tcW w:w="1947" w:type="dxa"/>
          </w:tcPr>
          <w:p>
            <w:pPr>
              <w:pStyle w:val="TableParagraph"/>
              <w:spacing w:before="1"/>
              <w:ind w:right="100"/>
              <w:jc w:val="right"/>
              <w:rPr>
                <w:sz w:val="22"/>
              </w:rPr>
            </w:pPr>
            <w:r>
              <w:rPr>
                <w:sz w:val="22"/>
              </w:rPr>
              <w:t>1,765</w:t>
            </w:r>
          </w:p>
        </w:tc>
        <w:tc>
          <w:tcPr>
            <w:tcW w:w="1948" w:type="dxa"/>
          </w:tcPr>
          <w:p>
            <w:pPr>
              <w:pStyle w:val="TableParagraph"/>
              <w:spacing w:before="1"/>
              <w:ind w:right="100"/>
              <w:jc w:val="right"/>
              <w:rPr>
                <w:sz w:val="22"/>
              </w:rPr>
            </w:pPr>
            <w:r>
              <w:rPr>
                <w:sz w:val="22"/>
              </w:rPr>
              <w:t>2,270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1,420</w:t>
            </w:r>
          </w:p>
        </w:tc>
        <w:tc>
          <w:tcPr>
            <w:tcW w:w="1948" w:type="dxa"/>
          </w:tcPr>
          <w:p>
            <w:pPr>
              <w:pStyle w:val="TableParagraph"/>
              <w:spacing w:before="1"/>
              <w:ind w:right="100"/>
              <w:jc w:val="right"/>
              <w:rPr>
                <w:sz w:val="22"/>
              </w:rPr>
            </w:pPr>
            <w:r>
              <w:rPr>
                <w:sz w:val="22"/>
              </w:rPr>
              <w:t>1,955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100</w:t>
            </w:r>
          </w:p>
        </w:tc>
        <w:tc>
          <w:tcPr>
            <w:tcW w:w="1948" w:type="dxa"/>
          </w:tcPr>
          <w:p>
            <w:pPr>
              <w:pStyle w:val="TableParagraph"/>
              <w:spacing w:before="1"/>
              <w:ind w:right="100"/>
              <w:jc w:val="right"/>
              <w:rPr>
                <w:sz w:val="22"/>
              </w:rPr>
            </w:pPr>
            <w:r>
              <w:rPr>
                <w:sz w:val="22"/>
              </w:rPr>
              <w:t>95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110</w:t>
            </w:r>
          </w:p>
        </w:tc>
        <w:tc>
          <w:tcPr>
            <w:tcW w:w="1948" w:type="dxa"/>
          </w:tcPr>
          <w:p>
            <w:pPr>
              <w:pStyle w:val="TableParagraph"/>
              <w:spacing w:before="1"/>
              <w:ind w:right="100"/>
              <w:jc w:val="right"/>
              <w:rPr>
                <w:sz w:val="22"/>
              </w:rPr>
            </w:pPr>
            <w:r>
              <w:rPr>
                <w:sz w:val="22"/>
              </w:rPr>
              <w:t>100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40</w:t>
            </w:r>
          </w:p>
        </w:tc>
        <w:tc>
          <w:tcPr>
            <w:tcW w:w="1948" w:type="dxa"/>
          </w:tcPr>
          <w:p>
            <w:pPr>
              <w:pStyle w:val="TableParagraph"/>
              <w:spacing w:before="1"/>
              <w:ind w:right="100"/>
              <w:jc w:val="right"/>
              <w:rPr>
                <w:sz w:val="22"/>
              </w:rPr>
            </w:pPr>
            <w:r>
              <w:rPr>
                <w:sz w:val="22"/>
              </w:rPr>
              <w:t>70</w:t>
            </w:r>
          </w:p>
        </w:tc>
        <w:tc>
          <w:tcPr>
            <w:tcW w:w="1948" w:type="dxa"/>
          </w:tcPr>
          <w:p>
            <w:pPr>
              <w:pStyle w:val="TableParagraph"/>
              <w:spacing w:before="1"/>
              <w:ind w:right="100"/>
              <w:jc w:val="right"/>
              <w:rPr>
                <w:sz w:val="22"/>
              </w:rPr>
            </w:pPr>
            <w:r>
              <w:rPr>
                <w:sz w:val="22"/>
              </w:rPr>
              <w:t>0</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20" w:right="0" w:firstLine="0"/>
        <w:jc w:val="left"/>
        <w:rPr>
          <w:rFonts w:ascii="Arial" w:hAnsi="Arial"/>
          <w:b/>
          <w:sz w:val="20"/>
        </w:rPr>
      </w:pPr>
      <w:r>
        <w:rPr/>
        <w:br w:type="column"/>
      </w:r>
      <w:r>
        <w:rPr>
          <w:rFonts w:ascii="Arial" w:hAnsi="Arial"/>
          <w:b/>
          <w:sz w:val="20"/>
        </w:rPr>
        <w:t>Table 18 – Severe Housing Problems 30 - 50% AMI</w:t>
      </w:r>
    </w:p>
    <w:p>
      <w:pPr>
        <w:spacing w:after="0"/>
        <w:jc w:val="left"/>
        <w:rPr>
          <w:rFonts w:ascii="Arial" w:hAnsi="Arial"/>
          <w:sz w:val="20"/>
        </w:rPr>
        <w:sectPr>
          <w:type w:val="continuous"/>
          <w:pgSz w:w="12240" w:h="15840"/>
          <w:pgMar w:top="1340" w:bottom="1520" w:left="1220" w:right="880"/>
          <w:cols w:num="3" w:equalWidth="0">
            <w:col w:w="872" w:space="198"/>
            <w:col w:w="1421" w:space="40"/>
            <w:col w:w="7609"/>
          </w:cols>
        </w:sectPr>
      </w:pPr>
    </w:p>
    <w:p>
      <w:pPr>
        <w:pStyle w:val="BodyText"/>
        <w:spacing w:before="7"/>
        <w:rPr>
          <w:rFonts w:ascii="Arial"/>
          <w:b/>
          <w:sz w:val="21"/>
        </w:rPr>
      </w:pPr>
    </w:p>
    <w:p>
      <w:pPr>
        <w:pStyle w:val="BodyText"/>
        <w:spacing w:before="56"/>
        <w:ind w:left="220"/>
      </w:pPr>
      <w:r>
        <w:rPr/>
        <w:t>*The four severe housing problems are:</w:t>
      </w:r>
    </w:p>
    <w:p>
      <w:pPr>
        <w:pStyle w:val="BodyText"/>
        <w:ind w:left="220" w:right="742"/>
      </w:pPr>
      <w:r>
        <w:rPr/>
        <w:t>1. Lacks complete kitchen facilities, 2. Lacks complete plumbing facilities, 3. More than 1.5 persons per room, 4.Cost Burden over 50%</w:t>
      </w:r>
    </w:p>
    <w:p>
      <w:pPr>
        <w:pStyle w:val="BodyText"/>
      </w:pPr>
    </w:p>
    <w:p>
      <w:pPr>
        <w:pStyle w:val="BodyText"/>
      </w:pPr>
    </w:p>
    <w:p>
      <w:pPr>
        <w:pStyle w:val="Heading4"/>
      </w:pPr>
      <w:r>
        <w:rPr/>
        <w:t>50%-80% of Area Median Income</w:t>
      </w:r>
    </w:p>
    <w:p>
      <w:pPr>
        <w:pStyle w:val="BodyText"/>
        <w:spacing w:before="7" w:after="1"/>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536"/>
              <w:rPr>
                <w:b/>
                <w:sz w:val="22"/>
              </w:rPr>
            </w:pPr>
            <w:r>
              <w:rPr>
                <w:b/>
                <w:sz w:val="22"/>
              </w:rPr>
              <w:t>Severe 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290</w:t>
            </w:r>
          </w:p>
        </w:tc>
        <w:tc>
          <w:tcPr>
            <w:tcW w:w="1948" w:type="dxa"/>
          </w:tcPr>
          <w:p>
            <w:pPr>
              <w:pStyle w:val="TableParagraph"/>
              <w:spacing w:line="258" w:lineRule="exact"/>
              <w:ind w:right="100"/>
              <w:jc w:val="right"/>
              <w:rPr>
                <w:sz w:val="22"/>
              </w:rPr>
            </w:pPr>
            <w:r>
              <w:rPr>
                <w:sz w:val="22"/>
              </w:rPr>
              <w:t>4,535</w:t>
            </w:r>
          </w:p>
        </w:tc>
        <w:tc>
          <w:tcPr>
            <w:tcW w:w="1948" w:type="dxa"/>
          </w:tcPr>
          <w:p>
            <w:pPr>
              <w:pStyle w:val="TableParagraph"/>
              <w:spacing w:line="258" w:lineRule="exact"/>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180</w:t>
            </w:r>
          </w:p>
        </w:tc>
        <w:tc>
          <w:tcPr>
            <w:tcW w:w="1948" w:type="dxa"/>
          </w:tcPr>
          <w:p>
            <w:pPr>
              <w:pStyle w:val="TableParagraph"/>
              <w:spacing w:before="1"/>
              <w:ind w:right="100"/>
              <w:jc w:val="right"/>
              <w:rPr>
                <w:sz w:val="22"/>
              </w:rPr>
            </w:pPr>
            <w:r>
              <w:rPr>
                <w:sz w:val="22"/>
              </w:rPr>
              <w:t>3,730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35</w:t>
            </w:r>
          </w:p>
        </w:tc>
        <w:tc>
          <w:tcPr>
            <w:tcW w:w="1948" w:type="dxa"/>
          </w:tcPr>
          <w:p>
            <w:pPr>
              <w:pStyle w:val="TableParagraph"/>
              <w:spacing w:before="1"/>
              <w:ind w:right="100"/>
              <w:jc w:val="right"/>
              <w:rPr>
                <w:sz w:val="22"/>
              </w:rPr>
            </w:pPr>
            <w:r>
              <w:rPr>
                <w:sz w:val="22"/>
              </w:rPr>
              <w:t>205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44</w:t>
            </w:r>
          </w:p>
        </w:tc>
        <w:tc>
          <w:tcPr>
            <w:tcW w:w="1948" w:type="dxa"/>
          </w:tcPr>
          <w:p>
            <w:pPr>
              <w:pStyle w:val="TableParagraph"/>
              <w:spacing w:before="1"/>
              <w:ind w:right="100"/>
              <w:jc w:val="right"/>
              <w:rPr>
                <w:sz w:val="22"/>
              </w:rPr>
            </w:pPr>
            <w:r>
              <w:rPr>
                <w:sz w:val="22"/>
              </w:rPr>
              <w:t>260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54</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10</w:t>
            </w:r>
          </w:p>
        </w:tc>
        <w:tc>
          <w:tcPr>
            <w:tcW w:w="1948" w:type="dxa"/>
          </w:tcPr>
          <w:p>
            <w:pPr>
              <w:pStyle w:val="TableParagraph"/>
              <w:spacing w:before="1"/>
              <w:ind w:right="100"/>
              <w:jc w:val="right"/>
              <w:rPr>
                <w:sz w:val="22"/>
              </w:rPr>
            </w:pPr>
            <w:r>
              <w:rPr>
                <w:sz w:val="22"/>
              </w:rPr>
              <w:t>180</w:t>
            </w:r>
          </w:p>
        </w:tc>
        <w:tc>
          <w:tcPr>
            <w:tcW w:w="1948" w:type="dxa"/>
          </w:tcPr>
          <w:p>
            <w:pPr>
              <w:pStyle w:val="TableParagraph"/>
              <w:spacing w:before="1"/>
              <w:ind w:right="100"/>
              <w:jc w:val="right"/>
              <w:rPr>
                <w:sz w:val="22"/>
              </w:rPr>
            </w:pPr>
            <w:r>
              <w:rPr>
                <w:sz w:val="22"/>
              </w:rPr>
              <w:t>0</w:t>
            </w:r>
          </w:p>
        </w:tc>
      </w:tr>
    </w:tbl>
    <w:p>
      <w:pPr>
        <w:spacing w:after="0"/>
        <w:jc w:val="right"/>
        <w:rPr>
          <w:sz w:val="22"/>
        </w:rPr>
        <w:sectPr>
          <w:type w:val="continuous"/>
          <w:pgSz w:w="12240" w:h="15840"/>
          <w:pgMar w:top="1340" w:bottom="1520" w:left="1220" w:right="880"/>
        </w:sectPr>
      </w:pPr>
    </w:p>
    <w:p>
      <w:pPr>
        <w:pStyle w:val="BodyText"/>
        <w:spacing w:before="1"/>
        <w:rPr>
          <w:b/>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CHAS</w:t>
      </w:r>
    </w:p>
    <w:p>
      <w:pPr>
        <w:spacing w:before="0"/>
        <w:ind w:left="-20" w:right="0" w:firstLine="0"/>
        <w:jc w:val="left"/>
        <w:rPr>
          <w:rFonts w:ascii="Arial" w:hAnsi="Arial"/>
          <w:b/>
          <w:sz w:val="20"/>
        </w:rPr>
      </w:pPr>
      <w:r>
        <w:rPr/>
        <w:br w:type="column"/>
      </w:r>
      <w:r>
        <w:rPr>
          <w:rFonts w:ascii="Arial" w:hAnsi="Arial"/>
          <w:b/>
          <w:sz w:val="20"/>
        </w:rPr>
        <w:t>Table 19 – Severe Housing Problems 50 - 80% AMI</w:t>
      </w:r>
    </w:p>
    <w:p>
      <w:pPr>
        <w:spacing w:after="0"/>
        <w:jc w:val="left"/>
        <w:rPr>
          <w:rFonts w:ascii="Arial" w:hAnsi="Arial"/>
          <w:sz w:val="20"/>
        </w:rPr>
        <w:sectPr>
          <w:type w:val="continuous"/>
          <w:pgSz w:w="12240" w:h="15840"/>
          <w:pgMar w:top="1340" w:bottom="1520" w:left="1220" w:right="880"/>
          <w:cols w:num="3" w:equalWidth="0">
            <w:col w:w="872" w:space="198"/>
            <w:col w:w="1421" w:space="40"/>
            <w:col w:w="7609"/>
          </w:cols>
        </w:sectPr>
      </w:pPr>
    </w:p>
    <w:p>
      <w:pPr>
        <w:pStyle w:val="BodyText"/>
        <w:spacing w:before="94"/>
        <w:ind w:left="220"/>
      </w:pPr>
      <w:r>
        <w:rPr/>
        <w:t>*The four severe housing problems are:</w:t>
      </w:r>
    </w:p>
    <w:p>
      <w:pPr>
        <w:pStyle w:val="BodyText"/>
        <w:ind w:left="220" w:right="742"/>
      </w:pPr>
      <w:r>
        <w:rPr/>
        <w:t>1. Lacks complete kitchen facilities, 2. Lacks complete plumbing facilities, 3. More than 1.5 persons per room, 4.Cost Burden over 50%</w:t>
      </w:r>
    </w:p>
    <w:p>
      <w:pPr>
        <w:pStyle w:val="BodyText"/>
      </w:pPr>
    </w:p>
    <w:p>
      <w:pPr>
        <w:pStyle w:val="BodyText"/>
      </w:pPr>
    </w:p>
    <w:p>
      <w:pPr>
        <w:pStyle w:val="Heading4"/>
      </w:pPr>
      <w:r>
        <w:rPr/>
        <w:t>80%-100% of Area Median Income</w:t>
      </w: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07"/>
        <w:gridCol w:w="1947"/>
        <w:gridCol w:w="1948"/>
        <w:gridCol w:w="1948"/>
      </w:tblGrid>
      <w:tr>
        <w:trPr>
          <w:trHeight w:val="1337" w:hRule="atLeast"/>
        </w:trPr>
        <w:tc>
          <w:tcPr>
            <w:tcW w:w="3507" w:type="dxa"/>
          </w:tcPr>
          <w:p>
            <w:pPr>
              <w:pStyle w:val="TableParagraph"/>
              <w:spacing w:before="1"/>
              <w:ind w:left="536"/>
              <w:rPr>
                <w:b/>
                <w:sz w:val="22"/>
              </w:rPr>
            </w:pPr>
            <w:r>
              <w:rPr>
                <w:b/>
                <w:sz w:val="22"/>
              </w:rPr>
              <w:t>Severe Housing Problems*</w:t>
            </w:r>
          </w:p>
        </w:tc>
        <w:tc>
          <w:tcPr>
            <w:tcW w:w="1947" w:type="dxa"/>
          </w:tcPr>
          <w:p>
            <w:pPr>
              <w:pStyle w:val="TableParagraph"/>
              <w:spacing w:before="1"/>
              <w:ind w:left="213" w:right="201"/>
              <w:jc w:val="center"/>
              <w:rPr>
                <w:b/>
                <w:sz w:val="22"/>
              </w:rPr>
            </w:pPr>
            <w:r>
              <w:rPr>
                <w:b/>
                <w:sz w:val="22"/>
              </w:rPr>
              <w:t>Has one or more of four housing problems</w:t>
            </w:r>
          </w:p>
        </w:tc>
        <w:tc>
          <w:tcPr>
            <w:tcW w:w="1948" w:type="dxa"/>
          </w:tcPr>
          <w:p>
            <w:pPr>
              <w:pStyle w:val="TableParagraph"/>
              <w:spacing w:before="1"/>
              <w:ind w:left="155" w:right="143"/>
              <w:jc w:val="center"/>
              <w:rPr>
                <w:b/>
                <w:sz w:val="22"/>
              </w:rPr>
            </w:pPr>
            <w:r>
              <w:rPr>
                <w:b/>
                <w:sz w:val="22"/>
              </w:rPr>
              <w:t>Has none of the four housing problems</w:t>
            </w:r>
          </w:p>
        </w:tc>
        <w:tc>
          <w:tcPr>
            <w:tcW w:w="1948" w:type="dxa"/>
          </w:tcPr>
          <w:p>
            <w:pPr>
              <w:pStyle w:val="TableParagraph"/>
              <w:spacing w:line="270" w:lineRule="atLeast"/>
              <w:ind w:left="155" w:right="143"/>
              <w:jc w:val="center"/>
              <w:rPr>
                <w:b/>
                <w:sz w:val="22"/>
              </w:rPr>
            </w:pPr>
            <w:r>
              <w:rPr>
                <w:b/>
                <w:sz w:val="22"/>
              </w:rPr>
              <w:t>Household has no/negative income, but none of the other housing problems</w:t>
            </w:r>
          </w:p>
        </w:tc>
      </w:tr>
      <w:tr>
        <w:trPr>
          <w:trHeight w:val="491" w:hRule="atLeast"/>
        </w:trPr>
        <w:tc>
          <w:tcPr>
            <w:tcW w:w="3507" w:type="dxa"/>
          </w:tcPr>
          <w:p>
            <w:pPr>
              <w:pStyle w:val="TableParagraph"/>
              <w:spacing w:line="258" w:lineRule="exact"/>
              <w:ind w:left="112"/>
              <w:rPr>
                <w:sz w:val="22"/>
              </w:rPr>
            </w:pPr>
            <w:r>
              <w:rPr>
                <w:sz w:val="22"/>
              </w:rPr>
              <w:t>Jurisdiction as a whole</w:t>
            </w:r>
          </w:p>
        </w:tc>
        <w:tc>
          <w:tcPr>
            <w:tcW w:w="1947" w:type="dxa"/>
          </w:tcPr>
          <w:p>
            <w:pPr>
              <w:pStyle w:val="TableParagraph"/>
              <w:spacing w:line="258" w:lineRule="exact"/>
              <w:ind w:right="100"/>
              <w:jc w:val="right"/>
              <w:rPr>
                <w:sz w:val="22"/>
              </w:rPr>
            </w:pPr>
            <w:r>
              <w:rPr>
                <w:sz w:val="22"/>
              </w:rPr>
              <w:t>124</w:t>
            </w:r>
          </w:p>
        </w:tc>
        <w:tc>
          <w:tcPr>
            <w:tcW w:w="1948" w:type="dxa"/>
          </w:tcPr>
          <w:p>
            <w:pPr>
              <w:pStyle w:val="TableParagraph"/>
              <w:spacing w:line="258" w:lineRule="exact"/>
              <w:ind w:right="100"/>
              <w:jc w:val="right"/>
              <w:rPr>
                <w:sz w:val="22"/>
              </w:rPr>
            </w:pPr>
            <w:r>
              <w:rPr>
                <w:sz w:val="22"/>
              </w:rPr>
              <w:t>2,390</w:t>
            </w:r>
          </w:p>
        </w:tc>
        <w:tc>
          <w:tcPr>
            <w:tcW w:w="1948" w:type="dxa"/>
          </w:tcPr>
          <w:p>
            <w:pPr>
              <w:pStyle w:val="TableParagraph"/>
              <w:spacing w:line="258" w:lineRule="exact"/>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White</w:t>
            </w:r>
          </w:p>
        </w:tc>
        <w:tc>
          <w:tcPr>
            <w:tcW w:w="1947" w:type="dxa"/>
          </w:tcPr>
          <w:p>
            <w:pPr>
              <w:pStyle w:val="TableParagraph"/>
              <w:spacing w:before="1"/>
              <w:ind w:right="100"/>
              <w:jc w:val="right"/>
              <w:rPr>
                <w:sz w:val="22"/>
              </w:rPr>
            </w:pPr>
            <w:r>
              <w:rPr>
                <w:sz w:val="22"/>
              </w:rPr>
              <w:t>114</w:t>
            </w:r>
          </w:p>
        </w:tc>
        <w:tc>
          <w:tcPr>
            <w:tcW w:w="1948" w:type="dxa"/>
          </w:tcPr>
          <w:p>
            <w:pPr>
              <w:pStyle w:val="TableParagraph"/>
              <w:spacing w:before="1"/>
              <w:ind w:right="100"/>
              <w:jc w:val="right"/>
              <w:rPr>
                <w:sz w:val="22"/>
              </w:rPr>
            </w:pPr>
            <w:r>
              <w:rPr>
                <w:sz w:val="22"/>
              </w:rPr>
              <w:t>2,120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Black / African American</w:t>
            </w:r>
          </w:p>
        </w:tc>
        <w:tc>
          <w:tcPr>
            <w:tcW w:w="1947" w:type="dxa"/>
          </w:tcPr>
          <w:p>
            <w:pPr>
              <w:pStyle w:val="TableParagraph"/>
              <w:spacing w:before="1"/>
              <w:ind w:right="100"/>
              <w:jc w:val="right"/>
              <w:rPr>
                <w:sz w:val="22"/>
              </w:rPr>
            </w:pPr>
            <w:r>
              <w:rPr>
                <w:sz w:val="22"/>
              </w:rPr>
              <w:t>15</w:t>
            </w:r>
          </w:p>
        </w:tc>
        <w:tc>
          <w:tcPr>
            <w:tcW w:w="1948" w:type="dxa"/>
          </w:tcPr>
          <w:p>
            <w:pPr>
              <w:pStyle w:val="TableParagraph"/>
              <w:spacing w:before="1"/>
              <w:ind w:right="100"/>
              <w:jc w:val="right"/>
              <w:rPr>
                <w:sz w:val="22"/>
              </w:rPr>
            </w:pPr>
            <w:r>
              <w:rPr>
                <w:sz w:val="22"/>
              </w:rPr>
              <w:t>85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Asian</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35</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American Indian, Alaska Native</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Pacific Islander</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0</w:t>
            </w:r>
          </w:p>
        </w:tc>
      </w:tr>
      <w:tr>
        <w:trPr>
          <w:trHeight w:val="503" w:hRule="atLeast"/>
        </w:trPr>
        <w:tc>
          <w:tcPr>
            <w:tcW w:w="3507" w:type="dxa"/>
          </w:tcPr>
          <w:p>
            <w:pPr>
              <w:pStyle w:val="TableParagraph"/>
              <w:spacing w:before="1"/>
              <w:ind w:left="112"/>
              <w:rPr>
                <w:sz w:val="22"/>
              </w:rPr>
            </w:pPr>
            <w:r>
              <w:rPr>
                <w:sz w:val="22"/>
              </w:rPr>
              <w:t>Hispanic</w:t>
            </w:r>
          </w:p>
        </w:tc>
        <w:tc>
          <w:tcPr>
            <w:tcW w:w="1947" w:type="dxa"/>
          </w:tcPr>
          <w:p>
            <w:pPr>
              <w:pStyle w:val="TableParagraph"/>
              <w:spacing w:before="1"/>
              <w:ind w:right="100"/>
              <w:jc w:val="right"/>
              <w:rPr>
                <w:sz w:val="22"/>
              </w:rPr>
            </w:pPr>
            <w:r>
              <w:rPr>
                <w:sz w:val="22"/>
              </w:rPr>
              <w:t>0</w:t>
            </w:r>
          </w:p>
        </w:tc>
        <w:tc>
          <w:tcPr>
            <w:tcW w:w="1948" w:type="dxa"/>
          </w:tcPr>
          <w:p>
            <w:pPr>
              <w:pStyle w:val="TableParagraph"/>
              <w:spacing w:before="1"/>
              <w:ind w:right="100"/>
              <w:jc w:val="right"/>
              <w:rPr>
                <w:sz w:val="22"/>
              </w:rPr>
            </w:pPr>
            <w:r>
              <w:rPr>
                <w:sz w:val="22"/>
              </w:rPr>
              <w:t>80</w:t>
            </w:r>
          </w:p>
        </w:tc>
        <w:tc>
          <w:tcPr>
            <w:tcW w:w="1948" w:type="dxa"/>
          </w:tcPr>
          <w:p>
            <w:pPr>
              <w:pStyle w:val="TableParagraph"/>
              <w:spacing w:before="1"/>
              <w:ind w:right="100"/>
              <w:jc w:val="right"/>
              <w:rPr>
                <w:sz w:val="22"/>
              </w:rPr>
            </w:pPr>
            <w:r>
              <w:rPr>
                <w:sz w:val="22"/>
              </w:rPr>
              <w:t>0</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384" w:right="0" w:firstLine="0"/>
        <w:jc w:val="left"/>
        <w:rPr>
          <w:rFonts w:ascii="Arial" w:hAnsi="Arial"/>
          <w:b/>
          <w:sz w:val="20"/>
        </w:rPr>
      </w:pPr>
      <w:r>
        <w:rPr/>
        <w:br w:type="column"/>
      </w:r>
      <w:r>
        <w:rPr>
          <w:rFonts w:ascii="Arial" w:hAnsi="Arial"/>
          <w:b/>
          <w:sz w:val="20"/>
        </w:rPr>
        <w:t>Table 20 – Severe Housing Problems 80 - 100%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rPr>
          <w:sz w:val="20"/>
        </w:rPr>
      </w:pPr>
    </w:p>
    <w:p>
      <w:pPr>
        <w:pStyle w:val="BodyText"/>
        <w:spacing w:before="8"/>
        <w:rPr>
          <w:sz w:val="17"/>
        </w:rPr>
      </w:pPr>
    </w:p>
    <w:p>
      <w:pPr>
        <w:pStyle w:val="BodyText"/>
        <w:ind w:left="220"/>
      </w:pPr>
      <w:r>
        <w:rPr/>
        <w:t>*The four severe housing problems are:</w:t>
      </w:r>
    </w:p>
    <w:p>
      <w:pPr>
        <w:pStyle w:val="ListParagraph"/>
        <w:numPr>
          <w:ilvl w:val="0"/>
          <w:numId w:val="7"/>
        </w:numPr>
        <w:tabs>
          <w:tab w:pos="437" w:val="left" w:leader="none"/>
        </w:tabs>
        <w:spacing w:line="240" w:lineRule="auto" w:before="0" w:after="0"/>
        <w:ind w:left="220" w:right="760" w:firstLine="0"/>
        <w:jc w:val="left"/>
        <w:rPr>
          <w:sz w:val="22"/>
        </w:rPr>
      </w:pPr>
      <w:r>
        <w:rPr>
          <w:sz w:val="22"/>
        </w:rPr>
        <w:t>Lacks complete kitchen facilities, 2. Lacks complete plumbing facilities, 3. More than 1.5 persons </w:t>
      </w:r>
      <w:r>
        <w:rPr>
          <w:spacing w:val="-6"/>
          <w:sz w:val="22"/>
        </w:rPr>
        <w:t>per </w:t>
      </w:r>
      <w:r>
        <w:rPr>
          <w:sz w:val="22"/>
        </w:rPr>
        <w:t>room, 4.Cost Burden over 50%</w:t>
      </w:r>
    </w:p>
    <w:p>
      <w:pPr>
        <w:pStyle w:val="BodyText"/>
      </w:pPr>
    </w:p>
    <w:p>
      <w:pPr>
        <w:pStyle w:val="BodyText"/>
      </w:pPr>
    </w:p>
    <w:p>
      <w:pPr>
        <w:pStyle w:val="Heading4"/>
      </w:pPr>
      <w:r>
        <w:rPr/>
        <w:t>Discussion</w:t>
      </w:r>
    </w:p>
    <w:p>
      <w:pPr>
        <w:pStyle w:val="Heading5"/>
        <w:spacing w:line="204" w:lineRule="auto" w:before="190"/>
        <w:ind w:left="220" w:right="709" w:firstLine="0"/>
      </w:pPr>
      <w:r>
        <w:rPr/>
        <w:t>Asian households earning 0-30% AMI in Bloomington experience a higher incidence of severe housing problems, such as overcrowding, high housing cost burdens (spending more than 50% of income on housing), and substandard living conditions than the jurisdiction as a whole. This can lead to increased risk of eviction and homelessness.</w:t>
      </w:r>
    </w:p>
    <w:p>
      <w:pPr>
        <w:spacing w:after="0" w:line="204" w:lineRule="auto"/>
        <w:sectPr>
          <w:type w:val="continuous"/>
          <w:pgSz w:w="12240" w:h="15840"/>
          <w:pgMar w:top="1340" w:bottom="1520" w:left="1220" w:right="880"/>
        </w:sectPr>
      </w:pPr>
    </w:p>
    <w:p>
      <w:pPr>
        <w:pStyle w:val="BodyText"/>
        <w:spacing w:before="4"/>
        <w:rPr>
          <w:sz w:val="7"/>
        </w:rPr>
      </w:pPr>
    </w:p>
    <w:p>
      <w:pPr>
        <w:pStyle w:val="BodyText"/>
        <w:ind w:left="2010"/>
        <w:rPr>
          <w:sz w:val="20"/>
        </w:rPr>
      </w:pPr>
      <w:r>
        <w:rPr>
          <w:sz w:val="20"/>
        </w:rPr>
        <w:drawing>
          <wp:inline distT="0" distB="0" distL="0" distR="0">
            <wp:extent cx="3620816" cy="210483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3620816" cy="2104834"/>
                    </a:xfrm>
                    <a:prstGeom prst="rect">
                      <a:avLst/>
                    </a:prstGeom>
                  </pic:spPr>
                </pic:pic>
              </a:graphicData>
            </a:graphic>
          </wp:inline>
        </w:drawing>
      </w:r>
      <w:r>
        <w:rPr>
          <w:sz w:val="20"/>
        </w:rPr>
      </w:r>
    </w:p>
    <w:p>
      <w:pPr>
        <w:spacing w:after="0"/>
        <w:rPr>
          <w:sz w:val="20"/>
        </w:rPr>
        <w:sectPr>
          <w:pgSz w:w="12240" w:h="15840"/>
          <w:pgMar w:header="769" w:footer="1321" w:top="1340" w:bottom="1540" w:left="1220" w:right="880"/>
        </w:sectPr>
      </w:pPr>
    </w:p>
    <w:p>
      <w:pPr>
        <w:pStyle w:val="BodyText"/>
        <w:rPr>
          <w:sz w:val="18"/>
        </w:rPr>
      </w:pPr>
    </w:p>
    <w:p>
      <w:pPr>
        <w:spacing w:before="36"/>
        <w:ind w:left="220" w:right="0" w:firstLine="0"/>
        <w:jc w:val="left"/>
        <w:rPr>
          <w:b/>
          <w:sz w:val="32"/>
        </w:rPr>
      </w:pPr>
      <w:r>
        <w:rPr>
          <w:b/>
          <w:color w:val="0E4661"/>
          <w:sz w:val="32"/>
        </w:rPr>
        <w:t>NA-25 Disproportionately Greater Need: Housing Cost Burdens –</w:t>
      </w:r>
    </w:p>
    <w:p>
      <w:pPr>
        <w:spacing w:before="59"/>
        <w:ind w:left="220" w:right="0" w:firstLine="0"/>
        <w:jc w:val="left"/>
        <w:rPr>
          <w:b/>
          <w:sz w:val="32"/>
        </w:rPr>
      </w:pPr>
      <w:r>
        <w:rPr>
          <w:b/>
          <w:color w:val="0E4661"/>
          <w:sz w:val="32"/>
        </w:rPr>
        <w:t>91.205 (b)(2)</w:t>
      </w:r>
    </w:p>
    <w:p>
      <w:pPr>
        <w:pStyle w:val="BodyText"/>
        <w:spacing w:line="276" w:lineRule="auto" w:before="136"/>
        <w:ind w:left="220" w:right="661"/>
      </w:pPr>
      <w:r>
        <w:rPr/>
        <w:t>Assess the need of any racial or ethnic group that has disproportionately greater need in comparison to the needs of that category of need as a whole.</w:t>
      </w:r>
    </w:p>
    <w:p>
      <w:pPr>
        <w:pStyle w:val="BodyText"/>
        <w:spacing w:before="5"/>
        <w:rPr>
          <w:sz w:val="16"/>
        </w:rPr>
      </w:pPr>
    </w:p>
    <w:p>
      <w:pPr>
        <w:pStyle w:val="Heading4"/>
      </w:pPr>
      <w:r>
        <w:rPr/>
        <w:t>Introduction:</w:t>
      </w:r>
    </w:p>
    <w:p>
      <w:pPr>
        <w:pStyle w:val="BodyText"/>
        <w:spacing w:line="276" w:lineRule="auto" w:before="156"/>
        <w:ind w:left="220" w:right="581"/>
      </w:pPr>
      <w:r>
        <w:rPr/>
        <w:t>HUD defines a disproportionately greater housing need when a racial or ethnic group experiences housing problems at a rate 10 percentage points higher than that of the corresponding income level of the jurisdiction as a whole. Cost-burden is defined as paying more than 30% of household income on housing, and severe cost burden is defined as paying greater than 50% of household income on housing.</w:t>
      </w:r>
    </w:p>
    <w:p>
      <w:pPr>
        <w:pStyle w:val="BodyText"/>
        <w:spacing w:before="4"/>
        <w:rPr>
          <w:sz w:val="16"/>
        </w:rPr>
      </w:pPr>
    </w:p>
    <w:p>
      <w:pPr>
        <w:pStyle w:val="BodyText"/>
        <w:spacing w:line="276" w:lineRule="auto" w:before="1"/>
        <w:ind w:left="220" w:right="569"/>
      </w:pPr>
      <w:r>
        <w:rPr/>
        <w:t>The following supplemental table, derived from CHAS data, indicates the percentage of each racial/ethnic group affected by cost burdens. Asian households experience severe cost burden at a disproportionate rate, though it should be noted the small sample size.</w:t>
      </w:r>
    </w:p>
    <w:p>
      <w:pPr>
        <w:pStyle w:val="BodyText"/>
        <w:spacing w:before="10"/>
        <w:rPr>
          <w:sz w:val="12"/>
        </w:rPr>
      </w:pPr>
      <w:r>
        <w:rPr/>
        <w:drawing>
          <wp:anchor distT="0" distB="0" distL="0" distR="0" allowOverlap="1" layoutInCell="1" locked="0" behindDoc="0" simplePos="0" relativeHeight="0">
            <wp:simplePos x="0" y="0"/>
            <wp:positionH relativeFrom="page">
              <wp:posOffset>1555750</wp:posOffset>
            </wp:positionH>
            <wp:positionV relativeFrom="paragraph">
              <wp:posOffset>124390</wp:posOffset>
            </wp:positionV>
            <wp:extent cx="4728694" cy="1842516"/>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4728694" cy="1842516"/>
                    </a:xfrm>
                    <a:prstGeom prst="rect">
                      <a:avLst/>
                    </a:prstGeom>
                  </pic:spPr>
                </pic:pic>
              </a:graphicData>
            </a:graphic>
          </wp:anchor>
        </w:drawing>
      </w:r>
    </w:p>
    <w:p>
      <w:pPr>
        <w:pStyle w:val="Heading4"/>
        <w:spacing w:before="177"/>
      </w:pPr>
      <w:r>
        <w:rPr/>
        <w:t>Housing Cost Burden</w:t>
      </w: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62"/>
        <w:gridCol w:w="1745"/>
        <w:gridCol w:w="1741"/>
        <w:gridCol w:w="1740"/>
        <w:gridCol w:w="1762"/>
      </w:tblGrid>
      <w:tr>
        <w:trPr>
          <w:trHeight w:val="800" w:hRule="atLeast"/>
        </w:trPr>
        <w:tc>
          <w:tcPr>
            <w:tcW w:w="2362" w:type="dxa"/>
          </w:tcPr>
          <w:p>
            <w:pPr>
              <w:pStyle w:val="TableParagraph"/>
              <w:spacing w:before="1"/>
              <w:ind w:left="226"/>
              <w:rPr>
                <w:b/>
                <w:sz w:val="22"/>
              </w:rPr>
            </w:pPr>
            <w:r>
              <w:rPr>
                <w:b/>
                <w:sz w:val="22"/>
              </w:rPr>
              <w:t>Housing Cost Burden</w:t>
            </w:r>
          </w:p>
        </w:tc>
        <w:tc>
          <w:tcPr>
            <w:tcW w:w="1745" w:type="dxa"/>
          </w:tcPr>
          <w:p>
            <w:pPr>
              <w:pStyle w:val="TableParagraph"/>
              <w:spacing w:before="1"/>
              <w:ind w:left="568"/>
              <w:rPr>
                <w:b/>
                <w:sz w:val="22"/>
              </w:rPr>
            </w:pPr>
            <w:r>
              <w:rPr>
                <w:b/>
                <w:sz w:val="22"/>
              </w:rPr>
              <w:t>&lt;=30%</w:t>
            </w:r>
          </w:p>
        </w:tc>
        <w:tc>
          <w:tcPr>
            <w:tcW w:w="1741" w:type="dxa"/>
          </w:tcPr>
          <w:p>
            <w:pPr>
              <w:pStyle w:val="TableParagraph"/>
              <w:spacing w:before="1"/>
              <w:ind w:left="531"/>
              <w:rPr>
                <w:b/>
                <w:sz w:val="22"/>
              </w:rPr>
            </w:pPr>
            <w:r>
              <w:rPr>
                <w:b/>
                <w:sz w:val="22"/>
              </w:rPr>
              <w:t>30-50%</w:t>
            </w:r>
          </w:p>
        </w:tc>
        <w:tc>
          <w:tcPr>
            <w:tcW w:w="1740" w:type="dxa"/>
          </w:tcPr>
          <w:p>
            <w:pPr>
              <w:pStyle w:val="TableParagraph"/>
              <w:spacing w:before="1"/>
              <w:ind w:left="600" w:right="591"/>
              <w:jc w:val="center"/>
              <w:rPr>
                <w:b/>
                <w:sz w:val="22"/>
              </w:rPr>
            </w:pPr>
            <w:r>
              <w:rPr>
                <w:b/>
                <w:sz w:val="22"/>
              </w:rPr>
              <w:t>&gt;50%</w:t>
            </w:r>
          </w:p>
        </w:tc>
        <w:tc>
          <w:tcPr>
            <w:tcW w:w="1762" w:type="dxa"/>
          </w:tcPr>
          <w:p>
            <w:pPr>
              <w:pStyle w:val="TableParagraph"/>
              <w:spacing w:line="270" w:lineRule="atLeast"/>
              <w:ind w:left="256" w:right="244"/>
              <w:jc w:val="center"/>
              <w:rPr>
                <w:b/>
                <w:sz w:val="22"/>
              </w:rPr>
            </w:pPr>
            <w:r>
              <w:rPr>
                <w:b/>
                <w:sz w:val="22"/>
              </w:rPr>
              <w:t>No / negative income (not computed)</w:t>
            </w:r>
          </w:p>
        </w:tc>
      </w:tr>
      <w:tr>
        <w:trPr>
          <w:trHeight w:val="494" w:hRule="atLeast"/>
        </w:trPr>
        <w:tc>
          <w:tcPr>
            <w:tcW w:w="2362" w:type="dxa"/>
          </w:tcPr>
          <w:p>
            <w:pPr>
              <w:pStyle w:val="TableParagraph"/>
              <w:spacing w:line="261" w:lineRule="exact"/>
              <w:ind w:left="112"/>
              <w:rPr>
                <w:sz w:val="22"/>
              </w:rPr>
            </w:pPr>
            <w:r>
              <w:rPr>
                <w:sz w:val="22"/>
              </w:rPr>
              <w:t>Jurisdiction as a whole</w:t>
            </w:r>
          </w:p>
        </w:tc>
        <w:tc>
          <w:tcPr>
            <w:tcW w:w="1745" w:type="dxa"/>
          </w:tcPr>
          <w:p>
            <w:pPr>
              <w:pStyle w:val="TableParagraph"/>
              <w:spacing w:line="261" w:lineRule="exact"/>
              <w:ind w:right="100"/>
              <w:jc w:val="right"/>
              <w:rPr>
                <w:sz w:val="22"/>
              </w:rPr>
            </w:pPr>
            <w:r>
              <w:rPr>
                <w:sz w:val="22"/>
              </w:rPr>
              <w:t>15,925</w:t>
            </w:r>
          </w:p>
        </w:tc>
        <w:tc>
          <w:tcPr>
            <w:tcW w:w="1741" w:type="dxa"/>
          </w:tcPr>
          <w:p>
            <w:pPr>
              <w:pStyle w:val="TableParagraph"/>
              <w:spacing w:line="261" w:lineRule="exact"/>
              <w:ind w:right="100"/>
              <w:jc w:val="right"/>
              <w:rPr>
                <w:sz w:val="22"/>
              </w:rPr>
            </w:pPr>
            <w:r>
              <w:rPr>
                <w:sz w:val="22"/>
              </w:rPr>
              <w:t>4,985</w:t>
            </w:r>
          </w:p>
        </w:tc>
        <w:tc>
          <w:tcPr>
            <w:tcW w:w="1740" w:type="dxa"/>
          </w:tcPr>
          <w:p>
            <w:pPr>
              <w:pStyle w:val="TableParagraph"/>
              <w:spacing w:line="261" w:lineRule="exact"/>
              <w:ind w:right="100"/>
              <w:jc w:val="right"/>
              <w:rPr>
                <w:sz w:val="22"/>
              </w:rPr>
            </w:pPr>
            <w:r>
              <w:rPr>
                <w:sz w:val="22"/>
              </w:rPr>
              <w:t>8,220</w:t>
            </w:r>
          </w:p>
        </w:tc>
        <w:tc>
          <w:tcPr>
            <w:tcW w:w="1762" w:type="dxa"/>
          </w:tcPr>
          <w:p>
            <w:pPr>
              <w:pStyle w:val="TableParagraph"/>
              <w:spacing w:line="261" w:lineRule="exact"/>
              <w:ind w:right="100"/>
              <w:jc w:val="right"/>
              <w:rPr>
                <w:sz w:val="22"/>
              </w:rPr>
            </w:pPr>
            <w:r>
              <w:rPr>
                <w:sz w:val="22"/>
              </w:rPr>
              <w:t>1,435</w:t>
            </w:r>
          </w:p>
        </w:tc>
      </w:tr>
      <w:tr>
        <w:trPr>
          <w:trHeight w:val="503" w:hRule="atLeast"/>
        </w:trPr>
        <w:tc>
          <w:tcPr>
            <w:tcW w:w="2362" w:type="dxa"/>
          </w:tcPr>
          <w:p>
            <w:pPr>
              <w:pStyle w:val="TableParagraph"/>
              <w:spacing w:before="1"/>
              <w:ind w:left="112"/>
              <w:rPr>
                <w:sz w:val="22"/>
              </w:rPr>
            </w:pPr>
            <w:r>
              <w:rPr>
                <w:sz w:val="22"/>
              </w:rPr>
              <w:t>White</w:t>
            </w:r>
          </w:p>
        </w:tc>
        <w:tc>
          <w:tcPr>
            <w:tcW w:w="1745" w:type="dxa"/>
          </w:tcPr>
          <w:p>
            <w:pPr>
              <w:pStyle w:val="TableParagraph"/>
              <w:spacing w:before="1"/>
              <w:ind w:right="100"/>
              <w:jc w:val="right"/>
              <w:rPr>
                <w:sz w:val="22"/>
              </w:rPr>
            </w:pPr>
            <w:r>
              <w:rPr>
                <w:sz w:val="22"/>
              </w:rPr>
              <w:t>13,705</w:t>
            </w:r>
          </w:p>
        </w:tc>
        <w:tc>
          <w:tcPr>
            <w:tcW w:w="1741" w:type="dxa"/>
          </w:tcPr>
          <w:p>
            <w:pPr>
              <w:pStyle w:val="TableParagraph"/>
              <w:spacing w:before="1"/>
              <w:ind w:right="100"/>
              <w:jc w:val="right"/>
              <w:rPr>
                <w:sz w:val="22"/>
              </w:rPr>
            </w:pPr>
            <w:r>
              <w:rPr>
                <w:sz w:val="22"/>
              </w:rPr>
              <w:t>4,185</w:t>
            </w:r>
          </w:p>
        </w:tc>
        <w:tc>
          <w:tcPr>
            <w:tcW w:w="1740" w:type="dxa"/>
          </w:tcPr>
          <w:p>
            <w:pPr>
              <w:pStyle w:val="TableParagraph"/>
              <w:spacing w:before="1"/>
              <w:ind w:right="100"/>
              <w:jc w:val="right"/>
              <w:rPr>
                <w:sz w:val="22"/>
              </w:rPr>
            </w:pPr>
            <w:r>
              <w:rPr>
                <w:sz w:val="22"/>
              </w:rPr>
              <w:t>6,415</w:t>
            </w:r>
          </w:p>
        </w:tc>
        <w:tc>
          <w:tcPr>
            <w:tcW w:w="1762" w:type="dxa"/>
          </w:tcPr>
          <w:p>
            <w:pPr>
              <w:pStyle w:val="TableParagraph"/>
              <w:spacing w:before="1"/>
              <w:ind w:right="100"/>
              <w:jc w:val="right"/>
              <w:rPr>
                <w:sz w:val="22"/>
              </w:rPr>
            </w:pPr>
            <w:r>
              <w:rPr>
                <w:sz w:val="22"/>
              </w:rPr>
              <w:t>515</w:t>
            </w:r>
          </w:p>
        </w:tc>
      </w:tr>
      <w:tr>
        <w:trPr>
          <w:trHeight w:val="812" w:hRule="atLeast"/>
        </w:trPr>
        <w:tc>
          <w:tcPr>
            <w:tcW w:w="2362" w:type="dxa"/>
          </w:tcPr>
          <w:p>
            <w:pPr>
              <w:pStyle w:val="TableParagraph"/>
              <w:spacing w:line="276" w:lineRule="auto" w:before="1"/>
              <w:ind w:left="112" w:right="926"/>
              <w:rPr>
                <w:sz w:val="22"/>
              </w:rPr>
            </w:pPr>
            <w:r>
              <w:rPr>
                <w:sz w:val="22"/>
              </w:rPr>
              <w:t>Black / African American</w:t>
            </w:r>
          </w:p>
        </w:tc>
        <w:tc>
          <w:tcPr>
            <w:tcW w:w="1745" w:type="dxa"/>
          </w:tcPr>
          <w:p>
            <w:pPr>
              <w:pStyle w:val="TableParagraph"/>
              <w:spacing w:before="5"/>
              <w:rPr>
                <w:b/>
                <w:sz w:val="25"/>
              </w:rPr>
            </w:pPr>
          </w:p>
          <w:p>
            <w:pPr>
              <w:pStyle w:val="TableParagraph"/>
              <w:ind w:right="100"/>
              <w:jc w:val="right"/>
              <w:rPr>
                <w:sz w:val="22"/>
              </w:rPr>
            </w:pPr>
            <w:r>
              <w:rPr>
                <w:sz w:val="22"/>
              </w:rPr>
              <w:t>575</w:t>
            </w:r>
          </w:p>
        </w:tc>
        <w:tc>
          <w:tcPr>
            <w:tcW w:w="1741" w:type="dxa"/>
          </w:tcPr>
          <w:p>
            <w:pPr>
              <w:pStyle w:val="TableParagraph"/>
              <w:spacing w:before="5"/>
              <w:rPr>
                <w:b/>
                <w:sz w:val="25"/>
              </w:rPr>
            </w:pPr>
          </w:p>
          <w:p>
            <w:pPr>
              <w:pStyle w:val="TableParagraph"/>
              <w:ind w:right="100"/>
              <w:jc w:val="right"/>
              <w:rPr>
                <w:sz w:val="22"/>
              </w:rPr>
            </w:pPr>
            <w:r>
              <w:rPr>
                <w:sz w:val="22"/>
              </w:rPr>
              <w:t>220</w:t>
            </w:r>
          </w:p>
        </w:tc>
        <w:tc>
          <w:tcPr>
            <w:tcW w:w="1740" w:type="dxa"/>
          </w:tcPr>
          <w:p>
            <w:pPr>
              <w:pStyle w:val="TableParagraph"/>
              <w:spacing w:before="5"/>
              <w:rPr>
                <w:b/>
                <w:sz w:val="25"/>
              </w:rPr>
            </w:pPr>
          </w:p>
          <w:p>
            <w:pPr>
              <w:pStyle w:val="TableParagraph"/>
              <w:ind w:right="100"/>
              <w:jc w:val="right"/>
              <w:rPr>
                <w:sz w:val="22"/>
              </w:rPr>
            </w:pPr>
            <w:r>
              <w:rPr>
                <w:sz w:val="22"/>
              </w:rPr>
              <w:t>430</w:t>
            </w:r>
          </w:p>
        </w:tc>
        <w:tc>
          <w:tcPr>
            <w:tcW w:w="1762" w:type="dxa"/>
          </w:tcPr>
          <w:p>
            <w:pPr>
              <w:pStyle w:val="TableParagraph"/>
              <w:spacing w:before="5"/>
              <w:rPr>
                <w:b/>
                <w:sz w:val="25"/>
              </w:rPr>
            </w:pPr>
          </w:p>
          <w:p>
            <w:pPr>
              <w:pStyle w:val="TableParagraph"/>
              <w:ind w:right="100"/>
              <w:jc w:val="right"/>
              <w:rPr>
                <w:sz w:val="22"/>
              </w:rPr>
            </w:pPr>
            <w:r>
              <w:rPr>
                <w:sz w:val="22"/>
              </w:rPr>
              <w:t>60</w:t>
            </w:r>
          </w:p>
        </w:tc>
      </w:tr>
      <w:tr>
        <w:trPr>
          <w:trHeight w:val="503" w:hRule="atLeast"/>
        </w:trPr>
        <w:tc>
          <w:tcPr>
            <w:tcW w:w="2362" w:type="dxa"/>
          </w:tcPr>
          <w:p>
            <w:pPr>
              <w:pStyle w:val="TableParagraph"/>
              <w:spacing w:before="1"/>
              <w:ind w:left="112"/>
              <w:rPr>
                <w:sz w:val="22"/>
              </w:rPr>
            </w:pPr>
            <w:r>
              <w:rPr>
                <w:sz w:val="22"/>
              </w:rPr>
              <w:t>Asian</w:t>
            </w:r>
          </w:p>
        </w:tc>
        <w:tc>
          <w:tcPr>
            <w:tcW w:w="1745" w:type="dxa"/>
          </w:tcPr>
          <w:p>
            <w:pPr>
              <w:pStyle w:val="TableParagraph"/>
              <w:spacing w:before="1"/>
              <w:ind w:right="100"/>
              <w:jc w:val="right"/>
              <w:rPr>
                <w:sz w:val="22"/>
              </w:rPr>
            </w:pPr>
            <w:r>
              <w:rPr>
                <w:sz w:val="22"/>
              </w:rPr>
              <w:t>720</w:t>
            </w:r>
          </w:p>
        </w:tc>
        <w:tc>
          <w:tcPr>
            <w:tcW w:w="1741" w:type="dxa"/>
          </w:tcPr>
          <w:p>
            <w:pPr>
              <w:pStyle w:val="TableParagraph"/>
              <w:spacing w:before="1"/>
              <w:ind w:right="100"/>
              <w:jc w:val="right"/>
              <w:rPr>
                <w:sz w:val="22"/>
              </w:rPr>
            </w:pPr>
            <w:r>
              <w:rPr>
                <w:sz w:val="22"/>
              </w:rPr>
              <w:t>215</w:t>
            </w:r>
          </w:p>
        </w:tc>
        <w:tc>
          <w:tcPr>
            <w:tcW w:w="1740" w:type="dxa"/>
          </w:tcPr>
          <w:p>
            <w:pPr>
              <w:pStyle w:val="TableParagraph"/>
              <w:spacing w:before="1"/>
              <w:ind w:right="100"/>
              <w:jc w:val="right"/>
              <w:rPr>
                <w:sz w:val="22"/>
              </w:rPr>
            </w:pPr>
            <w:r>
              <w:rPr>
                <w:sz w:val="22"/>
              </w:rPr>
              <w:t>735</w:t>
            </w:r>
          </w:p>
        </w:tc>
        <w:tc>
          <w:tcPr>
            <w:tcW w:w="1762" w:type="dxa"/>
          </w:tcPr>
          <w:p>
            <w:pPr>
              <w:pStyle w:val="TableParagraph"/>
              <w:spacing w:before="1"/>
              <w:ind w:right="100"/>
              <w:jc w:val="right"/>
              <w:rPr>
                <w:sz w:val="22"/>
              </w:rPr>
            </w:pPr>
            <w:r>
              <w:rPr>
                <w:sz w:val="22"/>
              </w:rPr>
              <w:t>790</w:t>
            </w:r>
          </w:p>
        </w:tc>
      </w:tr>
    </w:tbl>
    <w:p>
      <w:pPr>
        <w:spacing w:after="0"/>
        <w:jc w:val="right"/>
        <w:rPr>
          <w:sz w:val="22"/>
        </w:rPr>
        <w:sectPr>
          <w:pgSz w:w="12240" w:h="15840"/>
          <w:pgMar w:header="769" w:footer="1321" w:top="1340" w:bottom="1540" w:left="1220" w:right="880"/>
        </w:sectPr>
      </w:pPr>
    </w:p>
    <w:p>
      <w:pPr>
        <w:pStyle w:val="BodyText"/>
        <w:spacing w:before="11"/>
        <w:rPr>
          <w:b/>
          <w:sz w:val="6"/>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62"/>
        <w:gridCol w:w="1745"/>
        <w:gridCol w:w="1741"/>
        <w:gridCol w:w="1740"/>
        <w:gridCol w:w="1762"/>
      </w:tblGrid>
      <w:tr>
        <w:trPr>
          <w:trHeight w:val="812" w:hRule="atLeast"/>
        </w:trPr>
        <w:tc>
          <w:tcPr>
            <w:tcW w:w="2362" w:type="dxa"/>
          </w:tcPr>
          <w:p>
            <w:pPr>
              <w:pStyle w:val="TableParagraph"/>
              <w:spacing w:line="276" w:lineRule="auto" w:before="1"/>
              <w:ind w:left="112" w:right="698"/>
              <w:rPr>
                <w:sz w:val="22"/>
              </w:rPr>
            </w:pPr>
            <w:r>
              <w:rPr>
                <w:sz w:val="22"/>
              </w:rPr>
              <w:t>American Indian, Alaska Native</w:t>
            </w:r>
          </w:p>
        </w:tc>
        <w:tc>
          <w:tcPr>
            <w:tcW w:w="1745" w:type="dxa"/>
          </w:tcPr>
          <w:p>
            <w:pPr>
              <w:pStyle w:val="TableParagraph"/>
              <w:spacing w:before="5"/>
              <w:rPr>
                <w:b/>
                <w:sz w:val="25"/>
              </w:rPr>
            </w:pPr>
          </w:p>
          <w:p>
            <w:pPr>
              <w:pStyle w:val="TableParagraph"/>
              <w:ind w:right="100"/>
              <w:jc w:val="right"/>
              <w:rPr>
                <w:sz w:val="22"/>
              </w:rPr>
            </w:pPr>
            <w:r>
              <w:rPr>
                <w:sz w:val="22"/>
              </w:rPr>
              <w:t>35</w:t>
            </w:r>
          </w:p>
        </w:tc>
        <w:tc>
          <w:tcPr>
            <w:tcW w:w="1741" w:type="dxa"/>
          </w:tcPr>
          <w:p>
            <w:pPr>
              <w:pStyle w:val="TableParagraph"/>
              <w:spacing w:before="5"/>
              <w:rPr>
                <w:b/>
                <w:sz w:val="25"/>
              </w:rPr>
            </w:pPr>
          </w:p>
          <w:p>
            <w:pPr>
              <w:pStyle w:val="TableParagraph"/>
              <w:ind w:right="100"/>
              <w:jc w:val="right"/>
              <w:rPr>
                <w:sz w:val="22"/>
              </w:rPr>
            </w:pPr>
            <w:r>
              <w:rPr>
                <w:sz w:val="22"/>
              </w:rPr>
              <w:t>23</w:t>
            </w:r>
          </w:p>
        </w:tc>
        <w:tc>
          <w:tcPr>
            <w:tcW w:w="1740" w:type="dxa"/>
          </w:tcPr>
          <w:p>
            <w:pPr>
              <w:pStyle w:val="TableParagraph"/>
              <w:spacing w:before="5"/>
              <w:rPr>
                <w:b/>
                <w:sz w:val="25"/>
              </w:rPr>
            </w:pPr>
          </w:p>
          <w:p>
            <w:pPr>
              <w:pStyle w:val="TableParagraph"/>
              <w:ind w:right="100"/>
              <w:jc w:val="right"/>
              <w:rPr>
                <w:sz w:val="22"/>
              </w:rPr>
            </w:pPr>
            <w:r>
              <w:rPr>
                <w:sz w:val="22"/>
              </w:rPr>
              <w:t>15</w:t>
            </w:r>
          </w:p>
        </w:tc>
        <w:tc>
          <w:tcPr>
            <w:tcW w:w="1762" w:type="dxa"/>
          </w:tcPr>
          <w:p>
            <w:pPr>
              <w:pStyle w:val="TableParagraph"/>
              <w:spacing w:before="5"/>
              <w:rPr>
                <w:b/>
                <w:sz w:val="25"/>
              </w:rPr>
            </w:pPr>
          </w:p>
          <w:p>
            <w:pPr>
              <w:pStyle w:val="TableParagraph"/>
              <w:ind w:right="100"/>
              <w:jc w:val="right"/>
              <w:rPr>
                <w:sz w:val="22"/>
              </w:rPr>
            </w:pPr>
            <w:r>
              <w:rPr>
                <w:sz w:val="22"/>
              </w:rPr>
              <w:t>0</w:t>
            </w:r>
          </w:p>
        </w:tc>
      </w:tr>
      <w:tr>
        <w:trPr>
          <w:trHeight w:val="503" w:hRule="atLeast"/>
        </w:trPr>
        <w:tc>
          <w:tcPr>
            <w:tcW w:w="2362" w:type="dxa"/>
          </w:tcPr>
          <w:p>
            <w:pPr>
              <w:pStyle w:val="TableParagraph"/>
              <w:spacing w:before="1"/>
              <w:ind w:left="112"/>
              <w:rPr>
                <w:sz w:val="22"/>
              </w:rPr>
            </w:pPr>
            <w:r>
              <w:rPr>
                <w:sz w:val="22"/>
              </w:rPr>
              <w:t>Pacific Islander</w:t>
            </w:r>
          </w:p>
        </w:tc>
        <w:tc>
          <w:tcPr>
            <w:tcW w:w="1745" w:type="dxa"/>
          </w:tcPr>
          <w:p>
            <w:pPr>
              <w:pStyle w:val="TableParagraph"/>
              <w:spacing w:before="1"/>
              <w:ind w:right="100"/>
              <w:jc w:val="right"/>
              <w:rPr>
                <w:sz w:val="22"/>
              </w:rPr>
            </w:pPr>
            <w:r>
              <w:rPr>
                <w:sz w:val="22"/>
              </w:rPr>
              <w:t>0</w:t>
            </w:r>
          </w:p>
        </w:tc>
        <w:tc>
          <w:tcPr>
            <w:tcW w:w="1741" w:type="dxa"/>
          </w:tcPr>
          <w:p>
            <w:pPr>
              <w:pStyle w:val="TableParagraph"/>
              <w:spacing w:before="1"/>
              <w:ind w:right="100"/>
              <w:jc w:val="right"/>
              <w:rPr>
                <w:sz w:val="22"/>
              </w:rPr>
            </w:pPr>
            <w:r>
              <w:rPr>
                <w:sz w:val="22"/>
              </w:rPr>
              <w:t>0</w:t>
            </w:r>
          </w:p>
        </w:tc>
        <w:tc>
          <w:tcPr>
            <w:tcW w:w="1740" w:type="dxa"/>
          </w:tcPr>
          <w:p>
            <w:pPr>
              <w:pStyle w:val="TableParagraph"/>
              <w:spacing w:before="1"/>
              <w:ind w:right="100"/>
              <w:jc w:val="right"/>
              <w:rPr>
                <w:sz w:val="22"/>
              </w:rPr>
            </w:pPr>
            <w:r>
              <w:rPr>
                <w:sz w:val="22"/>
              </w:rPr>
              <w:t>4</w:t>
            </w:r>
          </w:p>
        </w:tc>
        <w:tc>
          <w:tcPr>
            <w:tcW w:w="1762" w:type="dxa"/>
          </w:tcPr>
          <w:p>
            <w:pPr>
              <w:pStyle w:val="TableParagraph"/>
              <w:spacing w:before="1"/>
              <w:ind w:right="100"/>
              <w:jc w:val="right"/>
              <w:rPr>
                <w:sz w:val="22"/>
              </w:rPr>
            </w:pPr>
            <w:r>
              <w:rPr>
                <w:sz w:val="22"/>
              </w:rPr>
              <w:t>0</w:t>
            </w:r>
          </w:p>
        </w:tc>
      </w:tr>
      <w:tr>
        <w:trPr>
          <w:trHeight w:val="503" w:hRule="atLeast"/>
        </w:trPr>
        <w:tc>
          <w:tcPr>
            <w:tcW w:w="2362" w:type="dxa"/>
          </w:tcPr>
          <w:p>
            <w:pPr>
              <w:pStyle w:val="TableParagraph"/>
              <w:spacing w:before="1"/>
              <w:ind w:left="112"/>
              <w:rPr>
                <w:sz w:val="22"/>
              </w:rPr>
            </w:pPr>
            <w:r>
              <w:rPr>
                <w:sz w:val="22"/>
              </w:rPr>
              <w:t>Hispanic</w:t>
            </w:r>
          </w:p>
        </w:tc>
        <w:tc>
          <w:tcPr>
            <w:tcW w:w="1745" w:type="dxa"/>
          </w:tcPr>
          <w:p>
            <w:pPr>
              <w:pStyle w:val="TableParagraph"/>
              <w:spacing w:before="1"/>
              <w:ind w:right="100"/>
              <w:jc w:val="right"/>
              <w:rPr>
                <w:sz w:val="22"/>
              </w:rPr>
            </w:pPr>
            <w:r>
              <w:rPr>
                <w:sz w:val="22"/>
              </w:rPr>
              <w:t>480</w:t>
            </w:r>
          </w:p>
        </w:tc>
        <w:tc>
          <w:tcPr>
            <w:tcW w:w="1741" w:type="dxa"/>
          </w:tcPr>
          <w:p>
            <w:pPr>
              <w:pStyle w:val="TableParagraph"/>
              <w:spacing w:before="1"/>
              <w:ind w:right="100"/>
              <w:jc w:val="right"/>
              <w:rPr>
                <w:sz w:val="22"/>
              </w:rPr>
            </w:pPr>
            <w:r>
              <w:rPr>
                <w:sz w:val="22"/>
              </w:rPr>
              <w:t>190</w:t>
            </w:r>
          </w:p>
        </w:tc>
        <w:tc>
          <w:tcPr>
            <w:tcW w:w="1740" w:type="dxa"/>
          </w:tcPr>
          <w:p>
            <w:pPr>
              <w:pStyle w:val="TableParagraph"/>
              <w:spacing w:before="1"/>
              <w:ind w:right="100"/>
              <w:jc w:val="right"/>
              <w:rPr>
                <w:sz w:val="22"/>
              </w:rPr>
            </w:pPr>
            <w:r>
              <w:rPr>
                <w:sz w:val="22"/>
              </w:rPr>
              <w:t>279</w:t>
            </w:r>
          </w:p>
        </w:tc>
        <w:tc>
          <w:tcPr>
            <w:tcW w:w="1762" w:type="dxa"/>
          </w:tcPr>
          <w:p>
            <w:pPr>
              <w:pStyle w:val="TableParagraph"/>
              <w:spacing w:before="1"/>
              <w:ind w:right="100"/>
              <w:jc w:val="right"/>
              <w:rPr>
                <w:sz w:val="22"/>
              </w:rPr>
            </w:pPr>
            <w:r>
              <w:rPr>
                <w:sz w:val="22"/>
              </w:rPr>
              <w:t>69</w:t>
            </w:r>
          </w:p>
        </w:tc>
      </w:tr>
    </w:tbl>
    <w:p>
      <w:pPr>
        <w:spacing w:after="0"/>
        <w:jc w:val="right"/>
        <w:rPr>
          <w:sz w:val="22"/>
        </w:rPr>
        <w:sectPr>
          <w:pgSz w:w="12240" w:h="15840"/>
          <w:pgMar w:header="769" w:footer="1321" w:top="1340" w:bottom="1540" w:left="1220" w:right="880"/>
        </w:sectPr>
      </w:pPr>
    </w:p>
    <w:p>
      <w:pPr>
        <w:pStyle w:val="BodyText"/>
        <w:spacing w:before="1"/>
        <w:rPr>
          <w:b/>
          <w:sz w:val="19"/>
        </w:rPr>
      </w:pPr>
    </w:p>
    <w:p>
      <w:pPr>
        <w:spacing w:before="0"/>
        <w:ind w:left="335" w:right="20" w:firstLine="0"/>
        <w:jc w:val="left"/>
        <w:rPr>
          <w:b/>
          <w:sz w:val="16"/>
        </w:rPr>
      </w:pPr>
      <w:r>
        <w:rPr>
          <w:b/>
          <w:sz w:val="16"/>
        </w:rPr>
        <w:t>Data Source:</w:t>
      </w:r>
    </w:p>
    <w:p>
      <w:pPr>
        <w:spacing w:before="0"/>
        <w:ind w:left="1335" w:right="0" w:firstLine="0"/>
        <w:jc w:val="left"/>
        <w:rPr>
          <w:rFonts w:ascii="Arial" w:hAnsi="Arial"/>
          <w:b/>
          <w:sz w:val="20"/>
        </w:rPr>
      </w:pPr>
      <w:r>
        <w:rPr/>
        <w:br w:type="column"/>
      </w:r>
      <w:r>
        <w:rPr>
          <w:rFonts w:ascii="Arial" w:hAnsi="Arial"/>
          <w:b/>
          <w:sz w:val="20"/>
        </w:rPr>
        <w:t>Table 21 – Greater Need: Housing Cost Burdens AMI</w:t>
      </w:r>
    </w:p>
    <w:p>
      <w:pPr>
        <w:spacing w:before="3"/>
        <w:ind w:left="335" w:right="0" w:firstLine="0"/>
        <w:jc w:val="left"/>
        <w:rPr>
          <w:sz w:val="16"/>
        </w:rPr>
      </w:pPr>
      <w:r>
        <w:rPr>
          <w:sz w:val="16"/>
        </w:rPr>
        <w:t>2016-2020 CHAS</w:t>
      </w:r>
    </w:p>
    <w:p>
      <w:pPr>
        <w:spacing w:after="0"/>
        <w:jc w:val="left"/>
        <w:rPr>
          <w:sz w:val="16"/>
        </w:rPr>
        <w:sectPr>
          <w:type w:val="continuous"/>
          <w:pgSz w:w="12240" w:h="15840"/>
          <w:pgMar w:top="1340" w:bottom="1520" w:left="1220" w:right="880"/>
          <w:cols w:num="2" w:equalWidth="0">
            <w:col w:w="872" w:space="198"/>
            <w:col w:w="9070"/>
          </w:cols>
        </w:sectPr>
      </w:pPr>
    </w:p>
    <w:p>
      <w:pPr>
        <w:pStyle w:val="BodyText"/>
        <w:spacing w:before="4"/>
        <w:rPr>
          <w:sz w:val="21"/>
        </w:rPr>
      </w:pPr>
    </w:p>
    <w:p>
      <w:pPr>
        <w:pStyle w:val="Heading1"/>
        <w:spacing w:before="35"/>
      </w:pPr>
      <w:r>
        <w:rPr>
          <w:color w:val="0E4661"/>
        </w:rPr>
        <w:t>NA-30 Disproportionately Greater Need: Discussion – 91.205(b)(2)</w:t>
      </w:r>
    </w:p>
    <w:p>
      <w:pPr>
        <w:pStyle w:val="Heading4"/>
        <w:spacing w:line="276" w:lineRule="auto" w:before="137"/>
        <w:ind w:right="1106"/>
      </w:pPr>
      <w:r>
        <w:rPr/>
        <w:t>Are there any Income categories in which a racial or ethnic group has disproportionately greater need than the needs of that income category as a whole?</w:t>
      </w:r>
    </w:p>
    <w:p>
      <w:pPr>
        <w:pStyle w:val="BodyText"/>
        <w:spacing w:line="276" w:lineRule="auto" w:before="200"/>
        <w:ind w:left="220" w:right="569"/>
      </w:pPr>
      <w:r>
        <w:rPr/>
        <w:t>Black/African American households earning 50-80% AMI experience housing problems at a disproportionate rate; Hispanic households earning 30-80% AMI also experience housing problems at </w:t>
      </w:r>
      <w:r>
        <w:rPr>
          <w:spacing w:val="-18"/>
        </w:rPr>
        <w:t>a </w:t>
      </w:r>
      <w:r>
        <w:rPr/>
        <w:t>disproportionate rate.</w:t>
      </w:r>
    </w:p>
    <w:p>
      <w:pPr>
        <w:pStyle w:val="BodyText"/>
        <w:spacing w:before="5"/>
        <w:rPr>
          <w:sz w:val="16"/>
        </w:rPr>
      </w:pPr>
    </w:p>
    <w:p>
      <w:pPr>
        <w:pStyle w:val="BodyText"/>
        <w:spacing w:line="276" w:lineRule="auto"/>
        <w:ind w:left="220" w:right="569"/>
      </w:pPr>
      <w:r>
        <w:rPr/>
        <w:t>Asian households 0-30% AMI experience severe housing problems, including severe cost burden, at </w:t>
      </w:r>
      <w:r>
        <w:rPr>
          <w:spacing w:val="-18"/>
        </w:rPr>
        <w:t>a </w:t>
      </w:r>
      <w:r>
        <w:rPr/>
        <w:t>disproportionate rate.</w:t>
      </w:r>
    </w:p>
    <w:p>
      <w:pPr>
        <w:pStyle w:val="BodyText"/>
        <w:spacing w:before="5"/>
        <w:rPr>
          <w:sz w:val="16"/>
        </w:rPr>
      </w:pPr>
    </w:p>
    <w:p>
      <w:pPr>
        <w:pStyle w:val="Heading4"/>
      </w:pPr>
      <w:r>
        <w:rPr/>
        <w:t>If they have needs not identified above, what are those needs?</w:t>
      </w:r>
    </w:p>
    <w:p>
      <w:pPr>
        <w:pStyle w:val="BodyText"/>
        <w:spacing w:before="11"/>
        <w:rPr>
          <w:b/>
          <w:sz w:val="19"/>
        </w:rPr>
      </w:pPr>
    </w:p>
    <w:p>
      <w:pPr>
        <w:pStyle w:val="BodyText"/>
        <w:spacing w:line="276" w:lineRule="auto"/>
        <w:ind w:left="220" w:right="567"/>
      </w:pPr>
      <w:r>
        <w:rPr/>
        <w:t>The needs among races/ethnicities are indicated above. Lower income groups have more general needs, as described in NA-10 and the Housing Market Analysis.</w:t>
      </w:r>
    </w:p>
    <w:p>
      <w:pPr>
        <w:pStyle w:val="BodyText"/>
        <w:spacing w:before="5"/>
        <w:rPr>
          <w:sz w:val="16"/>
        </w:rPr>
      </w:pPr>
    </w:p>
    <w:p>
      <w:pPr>
        <w:pStyle w:val="Heading4"/>
        <w:spacing w:line="276" w:lineRule="auto"/>
        <w:ind w:right="982"/>
      </w:pPr>
      <w:r>
        <w:rPr/>
        <w:t>Are any of those racial or ethnic groups located in specific areas or neighborhoods in your community?</w:t>
      </w:r>
    </w:p>
    <w:p>
      <w:pPr>
        <w:pStyle w:val="BodyText"/>
        <w:spacing w:line="276" w:lineRule="auto" w:before="200"/>
        <w:ind w:left="220" w:right="550"/>
      </w:pPr>
      <w:r>
        <w:rPr/>
        <w:t>HUD defines R/ECAPs as census tracts with a non-white population of at least 50% (and 20% outside of metropolitan/micropolitan areas) and a poverty rate that either exceeds 40% or is three times the average tract poverty rate for the metropolitan/micropolitan area, whichever is lower. By combining this data, it is possible to determine geographic patterns where there are concentrated areas of poverty among racial/ethnic minorities. Although ethnicity and race as defined by the US Census Bureau are not the same, the AI uses rates of both non-White and Hispanic/Latino populations to map a combined group of racial and ethnic concentrations, henceforth referred to collectively as "racially/ethnically concentrated areas of poverty” or R/ECAPs.</w:t>
      </w:r>
    </w:p>
    <w:p>
      <w:pPr>
        <w:pStyle w:val="BodyText"/>
        <w:spacing w:before="5"/>
        <w:rPr>
          <w:sz w:val="16"/>
        </w:rPr>
      </w:pPr>
    </w:p>
    <w:p>
      <w:pPr>
        <w:pStyle w:val="BodyText"/>
        <w:spacing w:line="276" w:lineRule="auto"/>
        <w:ind w:left="220" w:right="565"/>
      </w:pPr>
      <w:r>
        <w:rPr/>
        <w:t>Under HUD’s definition of racially/ethnically concentrated areas of poverty (R/ECAP), no census tract in Bloomington meets the 50% non-White population threshold. To measure relative minority concentration a second definition will be utilized. HUD employs a definition for an area of minority concentration where the percentage of minorities is at least 20 percentage points higher than the surrounding area through its Site and Neighborhood Standards, which is used for the siting of HUD funded properties. Using Monroe County as the surrounding area, which has a minority concentration of 17.3%, the threshold used here will be 37.3%. Under this definition, only one census tract in Bloomington meets this definition: 9.04.</w:t>
      </w:r>
    </w:p>
    <w:p>
      <w:pPr>
        <w:pStyle w:val="BodyText"/>
        <w:spacing w:before="4"/>
        <w:rPr>
          <w:sz w:val="16"/>
        </w:rPr>
      </w:pPr>
    </w:p>
    <w:p>
      <w:pPr>
        <w:pStyle w:val="BodyText"/>
        <w:spacing w:line="276" w:lineRule="auto"/>
        <w:ind w:left="220" w:right="561"/>
      </w:pPr>
      <w:r>
        <w:rPr/>
        <w:t>Additionally, the previous AI used a minority concentration definition as ten percentage points higher than the surrounding area. Under this definition, Census Tracts 6.02 and 9.01 would be considered areas of minority concentration.</w:t>
      </w:r>
    </w:p>
    <w:p>
      <w:pPr>
        <w:spacing w:after="0" w:line="276" w:lineRule="auto"/>
        <w:sectPr>
          <w:pgSz w:w="12240" w:h="15840"/>
          <w:pgMar w:header="769" w:footer="1321" w:top="1340" w:bottom="1540" w:left="1220" w:right="880"/>
        </w:sectPr>
      </w:pPr>
    </w:p>
    <w:p>
      <w:pPr>
        <w:pStyle w:val="BodyText"/>
        <w:spacing w:line="276" w:lineRule="auto" w:before="94"/>
        <w:ind w:left="220" w:right="574"/>
      </w:pPr>
      <w:r>
        <w:rPr/>
        <w:t>A concentrated area of poverty is defined as a census tract with 40% or more individuals living at or below the poverty line. It is important to look at disparities between groups in relation to disproportionate poverty and access to community assets to assess fair housing needs. Under this definition, Bloomington has six census tracts that exceed the poverty threshold: 1, 2.01, 2.02, 3.01, 3.02,</w:t>
      </w:r>
    </w:p>
    <w:p>
      <w:pPr>
        <w:pStyle w:val="BodyText"/>
        <w:ind w:left="220"/>
      </w:pPr>
      <w:r>
        <w:rPr/>
        <w:t>16, and 9.01.</w:t>
      </w:r>
    </w:p>
    <w:p>
      <w:pPr>
        <w:pStyle w:val="BodyText"/>
        <w:spacing w:before="8"/>
        <w:rPr>
          <w:sz w:val="19"/>
        </w:rPr>
      </w:pPr>
    </w:p>
    <w:p>
      <w:pPr>
        <w:pStyle w:val="BodyText"/>
        <w:spacing w:line="276" w:lineRule="auto"/>
        <w:ind w:left="220" w:right="569"/>
      </w:pPr>
      <w:r>
        <w:rPr/>
        <w:t>While Bloomington does not have a census tract that meets both thresholds to be defined as an </w:t>
      </w:r>
      <w:r>
        <w:rPr>
          <w:spacing w:val="-3"/>
        </w:rPr>
        <w:t>R/ECAP, </w:t>
      </w:r>
      <w:r>
        <w:rPr/>
        <w:t>investments and activities in these neighborhoods will be carefully considered to promote integration, deconcentrate poverty, and create new opportunities for residents already residing in these communities.</w:t>
      </w:r>
    </w:p>
    <w:p>
      <w:pPr>
        <w:pStyle w:val="BodyText"/>
        <w:spacing w:before="2"/>
        <w:rPr>
          <w:sz w:val="19"/>
        </w:rPr>
      </w:pPr>
      <w:r>
        <w:rPr/>
        <w:drawing>
          <wp:anchor distT="0" distB="0" distL="0" distR="0" allowOverlap="1" layoutInCell="1" locked="0" behindDoc="0" simplePos="0" relativeHeight="1">
            <wp:simplePos x="0" y="0"/>
            <wp:positionH relativeFrom="page">
              <wp:posOffset>1687510</wp:posOffset>
            </wp:positionH>
            <wp:positionV relativeFrom="paragraph">
              <wp:posOffset>173352</wp:posOffset>
            </wp:positionV>
            <wp:extent cx="4375947" cy="5733288"/>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2" cstate="print"/>
                    <a:stretch>
                      <a:fillRect/>
                    </a:stretch>
                  </pic:blipFill>
                  <pic:spPr>
                    <a:xfrm>
                      <a:off x="0" y="0"/>
                      <a:ext cx="4375947" cy="5733288"/>
                    </a:xfrm>
                    <a:prstGeom prst="rect">
                      <a:avLst/>
                    </a:prstGeom>
                  </pic:spPr>
                </pic:pic>
              </a:graphicData>
            </a:graphic>
          </wp:anchor>
        </w:drawing>
      </w:r>
    </w:p>
    <w:p>
      <w:pPr>
        <w:spacing w:after="0"/>
        <w:rPr>
          <w:sz w:val="19"/>
        </w:rPr>
        <w:sectPr>
          <w:pgSz w:w="12240" w:h="15840"/>
          <w:pgMar w:header="769" w:footer="1321" w:top="1340" w:bottom="1540" w:left="1220" w:right="880"/>
        </w:sectPr>
      </w:pPr>
    </w:p>
    <w:p>
      <w:pPr>
        <w:pStyle w:val="BodyText"/>
        <w:rPr>
          <w:sz w:val="18"/>
        </w:rPr>
      </w:pPr>
    </w:p>
    <w:p>
      <w:pPr>
        <w:pStyle w:val="Heading1"/>
        <w:spacing w:before="36"/>
      </w:pPr>
      <w:r>
        <w:rPr>
          <w:color w:val="0E4661"/>
        </w:rPr>
        <w:t>NA-35 Public Housing – 91.205(b)</w:t>
      </w:r>
    </w:p>
    <w:p>
      <w:pPr>
        <w:pStyle w:val="Heading4"/>
        <w:spacing w:before="137"/>
      </w:pPr>
      <w:r>
        <w:rPr/>
        <w:t>Introduction</w:t>
      </w:r>
    </w:p>
    <w:p>
      <w:pPr>
        <w:pStyle w:val="BodyText"/>
        <w:spacing w:line="276" w:lineRule="auto" w:before="156"/>
        <w:ind w:left="220" w:right="583"/>
      </w:pPr>
      <w:r>
        <w:rPr/>
        <w:t>The Bloomington Housing Authority (BHA) embarked on a significant transition by converting its public housing units to the Rental Assistance Demonstration (RAD) program, a federal initiative designed to improve the quality and sustainability of affordable housing. This shift came in response to the growing financial strain on public housing authorities nationwide, as federal funding for maintenance and repairs had not kept pace with the aging infrastructure of public housing stock.</w:t>
      </w:r>
    </w:p>
    <w:p>
      <w:pPr>
        <w:pStyle w:val="BodyText"/>
        <w:spacing w:before="4"/>
        <w:rPr>
          <w:sz w:val="16"/>
        </w:rPr>
      </w:pPr>
    </w:p>
    <w:p>
      <w:pPr>
        <w:pStyle w:val="BodyText"/>
        <w:spacing w:line="276" w:lineRule="auto"/>
        <w:ind w:left="220" w:right="615"/>
      </w:pPr>
      <w:r>
        <w:rPr/>
        <w:t>Under the traditional public housing model, the BHA operated its units with direct federal subsidies, but these funds were often insufficient to cover the extensive capital needs required to keep the housing safe and habitable. RAD, created by the U.S. Department of Housing and Urban Development (HUD), offers a solution by allowing housing authorities to convert their public housing units to a project-based Section 8 platform. This conversion enables them to access more stable funding sources, including private investment, to modernize and maintain properties.</w:t>
      </w:r>
    </w:p>
    <w:p>
      <w:pPr>
        <w:pStyle w:val="BodyText"/>
        <w:spacing w:before="5"/>
        <w:rPr>
          <w:sz w:val="16"/>
        </w:rPr>
      </w:pPr>
    </w:p>
    <w:p>
      <w:pPr>
        <w:pStyle w:val="BodyText"/>
        <w:spacing w:line="276" w:lineRule="auto"/>
        <w:ind w:left="220" w:right="732"/>
      </w:pPr>
      <w:r>
        <w:rPr/>
        <w:t>For BHA, the RAD conversion allowed the authority to secure the financing needed for critical renovations, improving living conditions for residents without raising their rents beyond 30% of their income. The program also preserves the long-term affordability of these units, as residents retain their rental assistance under the Section 8 model, ensuring that vulnerable low-income families continue to have access to safe, affordable housing in Bloomington.</w:t>
      </w:r>
    </w:p>
    <w:p>
      <w:pPr>
        <w:pStyle w:val="BodyText"/>
      </w:pPr>
    </w:p>
    <w:p>
      <w:pPr>
        <w:pStyle w:val="BodyText"/>
        <w:spacing w:before="2"/>
        <w:rPr>
          <w:sz w:val="31"/>
        </w:rPr>
      </w:pPr>
    </w:p>
    <w:p>
      <w:pPr>
        <w:pStyle w:val="Heading4"/>
        <w:spacing w:before="1"/>
        <w:ind w:left="274"/>
      </w:pPr>
      <w:r>
        <w:rPr/>
        <w:t>Totals in Use</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2"/>
        <w:gridCol w:w="1091"/>
        <w:gridCol w:w="757"/>
        <w:gridCol w:w="903"/>
        <w:gridCol w:w="731"/>
        <w:gridCol w:w="820"/>
        <w:gridCol w:w="813"/>
        <w:gridCol w:w="1139"/>
        <w:gridCol w:w="1146"/>
        <w:gridCol w:w="949"/>
      </w:tblGrid>
      <w:tr>
        <w:trPr>
          <w:trHeight w:val="239" w:hRule="atLeast"/>
        </w:trPr>
        <w:tc>
          <w:tcPr>
            <w:tcW w:w="9391" w:type="dxa"/>
            <w:gridSpan w:val="10"/>
          </w:tcPr>
          <w:p>
            <w:pPr>
              <w:pStyle w:val="TableParagraph"/>
              <w:spacing w:line="218" w:lineRule="exact" w:before="1"/>
              <w:ind w:left="4092" w:right="4083"/>
              <w:jc w:val="center"/>
              <w:rPr>
                <w:b/>
                <w:sz w:val="20"/>
              </w:rPr>
            </w:pPr>
            <w:r>
              <w:rPr>
                <w:b/>
                <w:sz w:val="20"/>
              </w:rPr>
              <w:t>Program Type</w:t>
            </w:r>
          </w:p>
        </w:tc>
      </w:tr>
      <w:tr>
        <w:trPr>
          <w:trHeight w:val="239" w:hRule="atLeast"/>
        </w:trPr>
        <w:tc>
          <w:tcPr>
            <w:tcW w:w="1042" w:type="dxa"/>
            <w:vMerge w:val="restart"/>
          </w:tcPr>
          <w:p>
            <w:pPr>
              <w:pStyle w:val="TableParagraph"/>
              <w:rPr>
                <w:rFonts w:ascii="Times New Roman"/>
                <w:sz w:val="20"/>
              </w:rPr>
            </w:pPr>
          </w:p>
        </w:tc>
        <w:tc>
          <w:tcPr>
            <w:tcW w:w="1091" w:type="dxa"/>
            <w:vMerge w:val="restart"/>
          </w:tcPr>
          <w:p>
            <w:pPr>
              <w:pStyle w:val="TableParagraph"/>
              <w:spacing w:before="1"/>
              <w:ind w:left="112"/>
              <w:rPr>
                <w:b/>
                <w:sz w:val="20"/>
              </w:rPr>
            </w:pPr>
            <w:r>
              <w:rPr>
                <w:b/>
                <w:sz w:val="20"/>
              </w:rPr>
              <w:t>Certificate</w:t>
            </w:r>
          </w:p>
        </w:tc>
        <w:tc>
          <w:tcPr>
            <w:tcW w:w="757" w:type="dxa"/>
            <w:vMerge w:val="restart"/>
          </w:tcPr>
          <w:p>
            <w:pPr>
              <w:pStyle w:val="TableParagraph"/>
              <w:spacing w:before="1"/>
              <w:ind w:left="112" w:right="83" w:firstLine="37"/>
              <w:rPr>
                <w:b/>
                <w:sz w:val="20"/>
              </w:rPr>
            </w:pPr>
            <w:r>
              <w:rPr>
                <w:b/>
                <w:sz w:val="20"/>
              </w:rPr>
              <w:t>Mod- Rehab</w:t>
            </w:r>
          </w:p>
        </w:tc>
        <w:tc>
          <w:tcPr>
            <w:tcW w:w="903" w:type="dxa"/>
            <w:vMerge w:val="restart"/>
          </w:tcPr>
          <w:p>
            <w:pPr>
              <w:pStyle w:val="TableParagraph"/>
              <w:spacing w:before="1"/>
              <w:ind w:left="112" w:right="83" w:firstLine="84"/>
              <w:rPr>
                <w:b/>
                <w:sz w:val="20"/>
              </w:rPr>
            </w:pPr>
            <w:r>
              <w:rPr>
                <w:b/>
                <w:sz w:val="20"/>
              </w:rPr>
              <w:t>Public Housing</w:t>
            </w:r>
          </w:p>
        </w:tc>
        <w:tc>
          <w:tcPr>
            <w:tcW w:w="5598" w:type="dxa"/>
            <w:gridSpan w:val="6"/>
          </w:tcPr>
          <w:p>
            <w:pPr>
              <w:pStyle w:val="TableParagraph"/>
              <w:spacing w:line="218" w:lineRule="exact" w:before="1"/>
              <w:ind w:left="112"/>
              <w:rPr>
                <w:b/>
                <w:sz w:val="20"/>
              </w:rPr>
            </w:pPr>
            <w:r>
              <w:rPr>
                <w:b/>
                <w:sz w:val="20"/>
              </w:rPr>
              <w:t>Vouchers</w:t>
            </w:r>
          </w:p>
        </w:tc>
      </w:tr>
      <w:tr>
        <w:trPr>
          <w:trHeight w:val="239" w:hRule="atLeast"/>
        </w:trPr>
        <w:tc>
          <w:tcPr>
            <w:tcW w:w="1042" w:type="dxa"/>
            <w:vMerge/>
            <w:tcBorders>
              <w:top w:val="nil"/>
            </w:tcBorders>
          </w:tcPr>
          <w:p>
            <w:pPr>
              <w:rPr>
                <w:sz w:val="2"/>
                <w:szCs w:val="2"/>
              </w:rPr>
            </w:pPr>
          </w:p>
        </w:tc>
        <w:tc>
          <w:tcPr>
            <w:tcW w:w="1091" w:type="dxa"/>
            <w:vMerge/>
            <w:tcBorders>
              <w:top w:val="nil"/>
            </w:tcBorders>
          </w:tcPr>
          <w:p>
            <w:pPr>
              <w:rPr>
                <w:sz w:val="2"/>
                <w:szCs w:val="2"/>
              </w:rPr>
            </w:pPr>
          </w:p>
        </w:tc>
        <w:tc>
          <w:tcPr>
            <w:tcW w:w="757" w:type="dxa"/>
            <w:vMerge/>
            <w:tcBorders>
              <w:top w:val="nil"/>
            </w:tcBorders>
          </w:tcPr>
          <w:p>
            <w:pPr>
              <w:rPr>
                <w:sz w:val="2"/>
                <w:szCs w:val="2"/>
              </w:rPr>
            </w:pPr>
          </w:p>
        </w:tc>
        <w:tc>
          <w:tcPr>
            <w:tcW w:w="903" w:type="dxa"/>
            <w:vMerge/>
            <w:tcBorders>
              <w:top w:val="nil"/>
            </w:tcBorders>
          </w:tcPr>
          <w:p>
            <w:pPr>
              <w:rPr>
                <w:sz w:val="2"/>
                <w:szCs w:val="2"/>
              </w:rPr>
            </w:pPr>
          </w:p>
        </w:tc>
        <w:tc>
          <w:tcPr>
            <w:tcW w:w="731" w:type="dxa"/>
            <w:vMerge w:val="restart"/>
          </w:tcPr>
          <w:p>
            <w:pPr>
              <w:pStyle w:val="TableParagraph"/>
              <w:spacing w:before="1"/>
              <w:ind w:left="151"/>
              <w:rPr>
                <w:b/>
                <w:sz w:val="20"/>
              </w:rPr>
            </w:pPr>
            <w:r>
              <w:rPr>
                <w:b/>
                <w:sz w:val="20"/>
              </w:rPr>
              <w:t>Total</w:t>
            </w:r>
          </w:p>
        </w:tc>
        <w:tc>
          <w:tcPr>
            <w:tcW w:w="820" w:type="dxa"/>
            <w:vMerge w:val="restart"/>
          </w:tcPr>
          <w:p>
            <w:pPr>
              <w:pStyle w:val="TableParagraph"/>
              <w:spacing w:before="1"/>
              <w:ind w:left="112"/>
              <w:rPr>
                <w:b/>
                <w:sz w:val="20"/>
              </w:rPr>
            </w:pPr>
            <w:r>
              <w:rPr>
                <w:b/>
                <w:sz w:val="20"/>
              </w:rPr>
              <w:t>Project</w:t>
            </w:r>
          </w:p>
          <w:p>
            <w:pPr>
              <w:pStyle w:val="TableParagraph"/>
              <w:ind w:left="129"/>
              <w:rPr>
                <w:b/>
                <w:sz w:val="20"/>
              </w:rPr>
            </w:pPr>
            <w:r>
              <w:rPr>
                <w:b/>
                <w:sz w:val="20"/>
              </w:rPr>
              <w:t>-based</w:t>
            </w:r>
          </w:p>
        </w:tc>
        <w:tc>
          <w:tcPr>
            <w:tcW w:w="813" w:type="dxa"/>
            <w:vMerge w:val="restart"/>
          </w:tcPr>
          <w:p>
            <w:pPr>
              <w:pStyle w:val="TableParagraph"/>
              <w:spacing w:before="1"/>
              <w:ind w:left="112"/>
              <w:rPr>
                <w:b/>
                <w:sz w:val="20"/>
              </w:rPr>
            </w:pPr>
            <w:r>
              <w:rPr>
                <w:b/>
                <w:sz w:val="20"/>
              </w:rPr>
              <w:t>Tenant</w:t>
            </w:r>
          </w:p>
          <w:p>
            <w:pPr>
              <w:pStyle w:val="TableParagraph"/>
              <w:ind w:left="126"/>
              <w:rPr>
                <w:b/>
                <w:sz w:val="20"/>
              </w:rPr>
            </w:pPr>
            <w:r>
              <w:rPr>
                <w:b/>
                <w:sz w:val="20"/>
              </w:rPr>
              <w:t>-based</w:t>
            </w:r>
          </w:p>
        </w:tc>
        <w:tc>
          <w:tcPr>
            <w:tcW w:w="3234" w:type="dxa"/>
            <w:gridSpan w:val="3"/>
          </w:tcPr>
          <w:p>
            <w:pPr>
              <w:pStyle w:val="TableParagraph"/>
              <w:spacing w:line="218" w:lineRule="exact" w:before="1"/>
              <w:ind w:left="589"/>
              <w:rPr>
                <w:b/>
                <w:sz w:val="20"/>
              </w:rPr>
            </w:pPr>
            <w:r>
              <w:rPr>
                <w:b/>
                <w:sz w:val="20"/>
              </w:rPr>
              <w:t>Special Purpose Voucher</w:t>
            </w:r>
          </w:p>
        </w:tc>
      </w:tr>
      <w:tr>
        <w:trPr>
          <w:trHeight w:val="971" w:hRule="atLeast"/>
        </w:trPr>
        <w:tc>
          <w:tcPr>
            <w:tcW w:w="1042" w:type="dxa"/>
            <w:vMerge/>
            <w:tcBorders>
              <w:top w:val="nil"/>
            </w:tcBorders>
          </w:tcPr>
          <w:p>
            <w:pPr>
              <w:rPr>
                <w:sz w:val="2"/>
                <w:szCs w:val="2"/>
              </w:rPr>
            </w:pPr>
          </w:p>
        </w:tc>
        <w:tc>
          <w:tcPr>
            <w:tcW w:w="1091" w:type="dxa"/>
            <w:vMerge/>
            <w:tcBorders>
              <w:top w:val="nil"/>
            </w:tcBorders>
          </w:tcPr>
          <w:p>
            <w:pPr>
              <w:rPr>
                <w:sz w:val="2"/>
                <w:szCs w:val="2"/>
              </w:rPr>
            </w:pPr>
          </w:p>
        </w:tc>
        <w:tc>
          <w:tcPr>
            <w:tcW w:w="757" w:type="dxa"/>
            <w:vMerge/>
            <w:tcBorders>
              <w:top w:val="nil"/>
            </w:tcBorders>
          </w:tcPr>
          <w:p>
            <w:pPr>
              <w:rPr>
                <w:sz w:val="2"/>
                <w:szCs w:val="2"/>
              </w:rPr>
            </w:pPr>
          </w:p>
        </w:tc>
        <w:tc>
          <w:tcPr>
            <w:tcW w:w="903" w:type="dxa"/>
            <w:vMerge/>
            <w:tcBorders>
              <w:top w:val="nil"/>
            </w:tcBorders>
          </w:tcPr>
          <w:p>
            <w:pPr>
              <w:rPr>
                <w:sz w:val="2"/>
                <w:szCs w:val="2"/>
              </w:rPr>
            </w:pPr>
          </w:p>
        </w:tc>
        <w:tc>
          <w:tcPr>
            <w:tcW w:w="731" w:type="dxa"/>
            <w:vMerge/>
            <w:tcBorders>
              <w:top w:val="nil"/>
            </w:tcBorders>
          </w:tcPr>
          <w:p>
            <w:pPr>
              <w:rPr>
                <w:sz w:val="2"/>
                <w:szCs w:val="2"/>
              </w:rPr>
            </w:pPr>
          </w:p>
        </w:tc>
        <w:tc>
          <w:tcPr>
            <w:tcW w:w="820" w:type="dxa"/>
            <w:vMerge/>
            <w:tcBorders>
              <w:top w:val="nil"/>
            </w:tcBorders>
          </w:tcPr>
          <w:p>
            <w:pPr>
              <w:rPr>
                <w:sz w:val="2"/>
                <w:szCs w:val="2"/>
              </w:rPr>
            </w:pPr>
          </w:p>
        </w:tc>
        <w:tc>
          <w:tcPr>
            <w:tcW w:w="813" w:type="dxa"/>
            <w:vMerge/>
            <w:tcBorders>
              <w:top w:val="nil"/>
            </w:tcBorders>
          </w:tcPr>
          <w:p>
            <w:pPr>
              <w:rPr>
                <w:sz w:val="2"/>
                <w:szCs w:val="2"/>
              </w:rPr>
            </w:pPr>
          </w:p>
        </w:tc>
        <w:tc>
          <w:tcPr>
            <w:tcW w:w="1139" w:type="dxa"/>
          </w:tcPr>
          <w:p>
            <w:pPr>
              <w:pStyle w:val="TableParagraph"/>
              <w:spacing w:line="240" w:lineRule="atLeast" w:before="1"/>
              <w:ind w:left="112" w:right="100"/>
              <w:jc w:val="center"/>
              <w:rPr>
                <w:b/>
                <w:sz w:val="20"/>
              </w:rPr>
            </w:pPr>
            <w:r>
              <w:rPr>
                <w:b/>
                <w:sz w:val="20"/>
              </w:rPr>
              <w:t>Veterans Affairs Supportive Housing</w:t>
            </w:r>
          </w:p>
        </w:tc>
        <w:tc>
          <w:tcPr>
            <w:tcW w:w="1146" w:type="dxa"/>
          </w:tcPr>
          <w:p>
            <w:pPr>
              <w:pStyle w:val="TableParagraph"/>
              <w:spacing w:before="1"/>
              <w:ind w:left="112" w:right="100"/>
              <w:jc w:val="center"/>
              <w:rPr>
                <w:b/>
                <w:sz w:val="20"/>
              </w:rPr>
            </w:pPr>
            <w:r>
              <w:rPr>
                <w:b/>
                <w:sz w:val="20"/>
              </w:rPr>
              <w:t>Family Unification Program</w:t>
            </w:r>
          </w:p>
        </w:tc>
        <w:tc>
          <w:tcPr>
            <w:tcW w:w="949" w:type="dxa"/>
          </w:tcPr>
          <w:p>
            <w:pPr>
              <w:pStyle w:val="TableParagraph"/>
              <w:spacing w:before="1"/>
              <w:ind w:left="92" w:right="82"/>
              <w:jc w:val="center"/>
              <w:rPr>
                <w:b/>
                <w:sz w:val="20"/>
              </w:rPr>
            </w:pPr>
            <w:r>
              <w:rPr>
                <w:b/>
                <w:sz w:val="20"/>
              </w:rPr>
              <w:t>Disabled</w:t>
            </w:r>
          </w:p>
          <w:p>
            <w:pPr>
              <w:pStyle w:val="TableParagraph"/>
              <w:ind w:left="10"/>
              <w:jc w:val="center"/>
              <w:rPr>
                <w:b/>
                <w:sz w:val="20"/>
              </w:rPr>
            </w:pPr>
            <w:r>
              <w:rPr>
                <w:b/>
                <w:sz w:val="20"/>
              </w:rPr>
              <w:t>*</w:t>
            </w:r>
          </w:p>
        </w:tc>
      </w:tr>
      <w:tr>
        <w:trPr>
          <w:trHeight w:val="1424" w:hRule="atLeast"/>
        </w:trPr>
        <w:tc>
          <w:tcPr>
            <w:tcW w:w="1042" w:type="dxa"/>
          </w:tcPr>
          <w:p>
            <w:pPr>
              <w:pStyle w:val="TableParagraph"/>
              <w:spacing w:line="276" w:lineRule="auto"/>
              <w:ind w:left="112" w:right="100"/>
              <w:rPr>
                <w:sz w:val="22"/>
              </w:rPr>
            </w:pPr>
            <w:r>
              <w:rPr>
                <w:sz w:val="22"/>
              </w:rPr>
              <w:t># of units vouchers in use</w:t>
            </w:r>
          </w:p>
        </w:tc>
        <w:tc>
          <w:tcPr>
            <w:tcW w:w="1091" w:type="dxa"/>
          </w:tcPr>
          <w:p>
            <w:pPr>
              <w:pStyle w:val="TableParagraph"/>
              <w:rPr>
                <w:b/>
                <w:sz w:val="22"/>
              </w:rPr>
            </w:pPr>
          </w:p>
          <w:p>
            <w:pPr>
              <w:pStyle w:val="TableParagraph"/>
              <w:rPr>
                <w:b/>
                <w:sz w:val="22"/>
              </w:rPr>
            </w:pPr>
          </w:p>
          <w:p>
            <w:pPr>
              <w:pStyle w:val="TableParagraph"/>
              <w:spacing w:before="6"/>
              <w:rPr>
                <w:b/>
                <w:sz w:val="31"/>
              </w:rPr>
            </w:pPr>
          </w:p>
          <w:p>
            <w:pPr>
              <w:pStyle w:val="TableParagraph"/>
              <w:ind w:right="100"/>
              <w:jc w:val="right"/>
              <w:rPr>
                <w:sz w:val="22"/>
              </w:rPr>
            </w:pPr>
            <w:r>
              <w:rPr>
                <w:sz w:val="22"/>
              </w:rPr>
              <w:t>0</w:t>
            </w:r>
          </w:p>
        </w:tc>
        <w:tc>
          <w:tcPr>
            <w:tcW w:w="757" w:type="dxa"/>
          </w:tcPr>
          <w:p>
            <w:pPr>
              <w:pStyle w:val="TableParagraph"/>
              <w:rPr>
                <w:b/>
                <w:sz w:val="22"/>
              </w:rPr>
            </w:pPr>
          </w:p>
          <w:p>
            <w:pPr>
              <w:pStyle w:val="TableParagraph"/>
              <w:rPr>
                <w:b/>
                <w:sz w:val="22"/>
              </w:rPr>
            </w:pPr>
          </w:p>
          <w:p>
            <w:pPr>
              <w:pStyle w:val="TableParagraph"/>
              <w:spacing w:before="6"/>
              <w:rPr>
                <w:b/>
                <w:sz w:val="31"/>
              </w:rPr>
            </w:pPr>
          </w:p>
          <w:p>
            <w:pPr>
              <w:pStyle w:val="TableParagraph"/>
              <w:ind w:left="416"/>
              <w:rPr>
                <w:sz w:val="22"/>
              </w:rPr>
            </w:pPr>
            <w:r>
              <w:rPr>
                <w:sz w:val="22"/>
              </w:rPr>
              <w:t>11</w:t>
            </w:r>
          </w:p>
        </w:tc>
        <w:tc>
          <w:tcPr>
            <w:tcW w:w="903" w:type="dxa"/>
          </w:tcPr>
          <w:p>
            <w:pPr>
              <w:pStyle w:val="TableParagraph"/>
              <w:rPr>
                <w:b/>
                <w:sz w:val="22"/>
              </w:rPr>
            </w:pPr>
          </w:p>
          <w:p>
            <w:pPr>
              <w:pStyle w:val="TableParagraph"/>
              <w:rPr>
                <w:b/>
                <w:sz w:val="22"/>
              </w:rPr>
            </w:pPr>
          </w:p>
          <w:p>
            <w:pPr>
              <w:pStyle w:val="TableParagraph"/>
              <w:spacing w:before="6"/>
              <w:rPr>
                <w:b/>
                <w:sz w:val="31"/>
              </w:rPr>
            </w:pPr>
          </w:p>
          <w:p>
            <w:pPr>
              <w:pStyle w:val="TableParagraph"/>
              <w:ind w:left="450"/>
              <w:rPr>
                <w:sz w:val="22"/>
              </w:rPr>
            </w:pPr>
            <w:r>
              <w:rPr>
                <w:sz w:val="22"/>
              </w:rPr>
              <w:t>296</w:t>
            </w:r>
          </w:p>
        </w:tc>
        <w:tc>
          <w:tcPr>
            <w:tcW w:w="731" w:type="dxa"/>
          </w:tcPr>
          <w:p>
            <w:pPr>
              <w:pStyle w:val="TableParagraph"/>
              <w:rPr>
                <w:b/>
                <w:sz w:val="22"/>
              </w:rPr>
            </w:pPr>
          </w:p>
          <w:p>
            <w:pPr>
              <w:pStyle w:val="TableParagraph"/>
              <w:rPr>
                <w:b/>
                <w:sz w:val="22"/>
              </w:rPr>
            </w:pPr>
          </w:p>
          <w:p>
            <w:pPr>
              <w:pStyle w:val="TableParagraph"/>
              <w:spacing w:before="6"/>
              <w:rPr>
                <w:b/>
                <w:sz w:val="31"/>
              </w:rPr>
            </w:pPr>
          </w:p>
          <w:p>
            <w:pPr>
              <w:pStyle w:val="TableParagraph"/>
              <w:ind w:left="112"/>
              <w:rPr>
                <w:sz w:val="22"/>
              </w:rPr>
            </w:pPr>
            <w:r>
              <w:rPr>
                <w:sz w:val="22"/>
              </w:rPr>
              <w:t>1,249</w:t>
            </w:r>
          </w:p>
        </w:tc>
        <w:tc>
          <w:tcPr>
            <w:tcW w:w="820" w:type="dxa"/>
          </w:tcPr>
          <w:p>
            <w:pPr>
              <w:pStyle w:val="TableParagraph"/>
              <w:rPr>
                <w:b/>
                <w:sz w:val="22"/>
              </w:rPr>
            </w:pPr>
          </w:p>
          <w:p>
            <w:pPr>
              <w:pStyle w:val="TableParagraph"/>
              <w:rPr>
                <w:b/>
                <w:sz w:val="22"/>
              </w:rPr>
            </w:pPr>
          </w:p>
          <w:p>
            <w:pPr>
              <w:pStyle w:val="TableParagraph"/>
              <w:spacing w:before="6"/>
              <w:rPr>
                <w:b/>
                <w:sz w:val="31"/>
              </w:rPr>
            </w:pPr>
          </w:p>
          <w:p>
            <w:pPr>
              <w:pStyle w:val="TableParagraph"/>
              <w:ind w:left="479"/>
              <w:rPr>
                <w:sz w:val="22"/>
              </w:rPr>
            </w:pPr>
            <w:r>
              <w:rPr>
                <w:sz w:val="22"/>
              </w:rPr>
              <w:t>22</w:t>
            </w:r>
          </w:p>
        </w:tc>
        <w:tc>
          <w:tcPr>
            <w:tcW w:w="813" w:type="dxa"/>
          </w:tcPr>
          <w:p>
            <w:pPr>
              <w:pStyle w:val="TableParagraph"/>
              <w:rPr>
                <w:b/>
                <w:sz w:val="22"/>
              </w:rPr>
            </w:pPr>
          </w:p>
          <w:p>
            <w:pPr>
              <w:pStyle w:val="TableParagraph"/>
              <w:rPr>
                <w:b/>
                <w:sz w:val="22"/>
              </w:rPr>
            </w:pPr>
          </w:p>
          <w:p>
            <w:pPr>
              <w:pStyle w:val="TableParagraph"/>
              <w:spacing w:before="6"/>
              <w:rPr>
                <w:b/>
                <w:sz w:val="31"/>
              </w:rPr>
            </w:pPr>
          </w:p>
          <w:p>
            <w:pPr>
              <w:pStyle w:val="TableParagraph"/>
              <w:ind w:left="194"/>
              <w:rPr>
                <w:sz w:val="22"/>
              </w:rPr>
            </w:pPr>
            <w:r>
              <w:rPr>
                <w:sz w:val="22"/>
              </w:rPr>
              <w:t>1,181</w:t>
            </w:r>
          </w:p>
        </w:tc>
        <w:tc>
          <w:tcPr>
            <w:tcW w:w="1139" w:type="dxa"/>
          </w:tcPr>
          <w:p>
            <w:pPr>
              <w:pStyle w:val="TableParagraph"/>
              <w:rPr>
                <w:b/>
                <w:sz w:val="22"/>
              </w:rPr>
            </w:pPr>
          </w:p>
          <w:p>
            <w:pPr>
              <w:pStyle w:val="TableParagraph"/>
              <w:rPr>
                <w:b/>
                <w:sz w:val="22"/>
              </w:rPr>
            </w:pPr>
          </w:p>
          <w:p>
            <w:pPr>
              <w:pStyle w:val="TableParagraph"/>
              <w:spacing w:before="6"/>
              <w:rPr>
                <w:b/>
                <w:sz w:val="31"/>
              </w:rPr>
            </w:pPr>
          </w:p>
          <w:p>
            <w:pPr>
              <w:pStyle w:val="TableParagraph"/>
              <w:ind w:right="100"/>
              <w:jc w:val="right"/>
              <w:rPr>
                <w:sz w:val="22"/>
              </w:rPr>
            </w:pPr>
            <w:r>
              <w:rPr>
                <w:sz w:val="22"/>
              </w:rPr>
              <w:t>35</w:t>
            </w:r>
          </w:p>
        </w:tc>
        <w:tc>
          <w:tcPr>
            <w:tcW w:w="1146" w:type="dxa"/>
          </w:tcPr>
          <w:p>
            <w:pPr>
              <w:pStyle w:val="TableParagraph"/>
              <w:rPr>
                <w:b/>
                <w:sz w:val="22"/>
              </w:rPr>
            </w:pPr>
          </w:p>
          <w:p>
            <w:pPr>
              <w:pStyle w:val="TableParagraph"/>
              <w:rPr>
                <w:b/>
                <w:sz w:val="22"/>
              </w:rPr>
            </w:pPr>
          </w:p>
          <w:p>
            <w:pPr>
              <w:pStyle w:val="TableParagraph"/>
              <w:spacing w:before="6"/>
              <w:rPr>
                <w:b/>
                <w:sz w:val="31"/>
              </w:rPr>
            </w:pPr>
          </w:p>
          <w:p>
            <w:pPr>
              <w:pStyle w:val="TableParagraph"/>
              <w:ind w:right="100"/>
              <w:jc w:val="right"/>
              <w:rPr>
                <w:sz w:val="22"/>
              </w:rPr>
            </w:pPr>
            <w:r>
              <w:rPr>
                <w:sz w:val="22"/>
              </w:rPr>
              <w:t>0</w:t>
            </w:r>
          </w:p>
        </w:tc>
        <w:tc>
          <w:tcPr>
            <w:tcW w:w="949" w:type="dxa"/>
          </w:tcPr>
          <w:p>
            <w:pPr>
              <w:pStyle w:val="TableParagraph"/>
              <w:rPr>
                <w:b/>
                <w:sz w:val="22"/>
              </w:rPr>
            </w:pPr>
          </w:p>
          <w:p>
            <w:pPr>
              <w:pStyle w:val="TableParagraph"/>
              <w:rPr>
                <w:b/>
                <w:sz w:val="22"/>
              </w:rPr>
            </w:pPr>
          </w:p>
          <w:p>
            <w:pPr>
              <w:pStyle w:val="TableParagraph"/>
              <w:spacing w:before="6"/>
              <w:rPr>
                <w:b/>
                <w:sz w:val="31"/>
              </w:rPr>
            </w:pPr>
          </w:p>
          <w:p>
            <w:pPr>
              <w:pStyle w:val="TableParagraph"/>
              <w:ind w:right="100"/>
              <w:jc w:val="right"/>
              <w:rPr>
                <w:sz w:val="22"/>
              </w:rPr>
            </w:pPr>
            <w:r>
              <w:rPr>
                <w:sz w:val="22"/>
              </w:rPr>
              <w:t>0</w:t>
            </w:r>
          </w:p>
        </w:tc>
      </w:tr>
    </w:tbl>
    <w:p>
      <w:pPr>
        <w:spacing w:before="0"/>
        <w:ind w:left="535" w:right="874" w:firstLine="0"/>
        <w:jc w:val="center"/>
        <w:rPr>
          <w:rFonts w:ascii="Arial"/>
          <w:b/>
          <w:sz w:val="20"/>
        </w:rPr>
      </w:pPr>
      <w:r>
        <w:rPr>
          <w:rFonts w:ascii="Arial"/>
          <w:b/>
          <w:sz w:val="20"/>
        </w:rPr>
        <w:t>Table 22 - Public Housing by Program Type</w:t>
      </w:r>
    </w:p>
    <w:p>
      <w:pPr>
        <w:spacing w:before="3"/>
        <w:ind w:left="220" w:right="0" w:firstLine="0"/>
        <w:jc w:val="left"/>
        <w:rPr>
          <w:b/>
          <w:sz w:val="20"/>
        </w:rPr>
      </w:pPr>
      <w:r>
        <w:rPr>
          <w:b/>
          <w:sz w:val="20"/>
        </w:rPr>
        <w:t>*includes Non-Elderly Disabled, Mainstream One-Year, Mainstream Five-year, and Nursing Home Transition</w:t>
      </w:r>
    </w:p>
    <w:p>
      <w:pPr>
        <w:pStyle w:val="BodyText"/>
        <w:spacing w:before="5"/>
        <w:rPr>
          <w:b/>
          <w:sz w:val="14"/>
        </w:rPr>
      </w:pPr>
    </w:p>
    <w:p>
      <w:pPr>
        <w:spacing w:after="0"/>
        <w:rPr>
          <w:sz w:val="14"/>
        </w:rPr>
        <w:sectPr>
          <w:pgSz w:w="12240" w:h="15840"/>
          <w:pgMar w:header="769" w:footer="1321" w:top="1340" w:bottom="1540" w:left="1220" w:right="880"/>
        </w:sectPr>
      </w:pPr>
    </w:p>
    <w:p>
      <w:pPr>
        <w:spacing w:before="68"/>
        <w:ind w:left="335" w:right="20" w:firstLine="0"/>
        <w:jc w:val="left"/>
        <w:rPr>
          <w:b/>
          <w:sz w:val="16"/>
        </w:rPr>
      </w:pPr>
      <w:r>
        <w:rPr>
          <w:b/>
          <w:sz w:val="16"/>
        </w:rPr>
        <w:t>Data Source:</w:t>
      </w:r>
    </w:p>
    <w:p>
      <w:pPr>
        <w:spacing w:before="68"/>
        <w:ind w:left="335" w:right="0" w:firstLine="0"/>
        <w:jc w:val="left"/>
        <w:rPr>
          <w:sz w:val="16"/>
        </w:rPr>
      </w:pPr>
      <w:r>
        <w:rPr/>
        <w:br w:type="column"/>
      </w:r>
      <w:r>
        <w:rPr>
          <w:sz w:val="16"/>
        </w:rPr>
        <w:t>PIC (PIH Information Center)</w:t>
      </w:r>
    </w:p>
    <w:p>
      <w:pPr>
        <w:spacing w:after="0"/>
        <w:jc w:val="left"/>
        <w:rPr>
          <w:sz w:val="16"/>
        </w:rPr>
        <w:sectPr>
          <w:type w:val="continuous"/>
          <w:pgSz w:w="12240" w:h="15840"/>
          <w:pgMar w:top="1340" w:bottom="1520" w:left="1220" w:right="880"/>
          <w:cols w:num="2" w:equalWidth="0">
            <w:col w:w="872" w:space="198"/>
            <w:col w:w="9070"/>
          </w:cols>
        </w:sectPr>
      </w:pPr>
    </w:p>
    <w:p>
      <w:pPr>
        <w:pStyle w:val="Heading4"/>
        <w:spacing w:before="94"/>
        <w:ind w:left="274"/>
      </w:pPr>
      <w:r>
        <w:rPr/>
        <w:t>Characteristics of Residents</w:t>
      </w:r>
    </w:p>
    <w:p>
      <w:pPr>
        <w:pStyle w:val="BodyText"/>
        <w:rPr>
          <w:b/>
          <w:sz w:val="20"/>
        </w:rPr>
      </w:pPr>
    </w:p>
    <w:p>
      <w:pPr>
        <w:pStyle w:val="BodyText"/>
        <w:spacing w:before="8"/>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16"/>
        <w:gridCol w:w="1091"/>
        <w:gridCol w:w="792"/>
        <w:gridCol w:w="922"/>
        <w:gridCol w:w="788"/>
        <w:gridCol w:w="867"/>
        <w:gridCol w:w="861"/>
        <w:gridCol w:w="1201"/>
        <w:gridCol w:w="1212"/>
      </w:tblGrid>
      <w:tr>
        <w:trPr>
          <w:trHeight w:val="239" w:hRule="atLeast"/>
        </w:trPr>
        <w:tc>
          <w:tcPr>
            <w:tcW w:w="9350" w:type="dxa"/>
            <w:gridSpan w:val="9"/>
          </w:tcPr>
          <w:p>
            <w:pPr>
              <w:pStyle w:val="TableParagraph"/>
              <w:spacing w:line="218" w:lineRule="exact" w:before="1"/>
              <w:ind w:left="3083" w:right="3073"/>
              <w:jc w:val="center"/>
              <w:rPr>
                <w:b/>
                <w:sz w:val="20"/>
              </w:rPr>
            </w:pPr>
            <w:r>
              <w:rPr>
                <w:b/>
                <w:sz w:val="20"/>
              </w:rPr>
              <w:t>Program Type</w:t>
            </w:r>
          </w:p>
        </w:tc>
      </w:tr>
      <w:tr>
        <w:trPr>
          <w:trHeight w:val="239" w:hRule="atLeast"/>
        </w:trPr>
        <w:tc>
          <w:tcPr>
            <w:tcW w:w="1616" w:type="dxa"/>
            <w:vMerge w:val="restart"/>
          </w:tcPr>
          <w:p>
            <w:pPr>
              <w:pStyle w:val="TableParagraph"/>
              <w:rPr>
                <w:rFonts w:ascii="Times New Roman"/>
                <w:sz w:val="20"/>
              </w:rPr>
            </w:pPr>
          </w:p>
        </w:tc>
        <w:tc>
          <w:tcPr>
            <w:tcW w:w="1091" w:type="dxa"/>
            <w:vMerge w:val="restart"/>
          </w:tcPr>
          <w:p>
            <w:pPr>
              <w:pStyle w:val="TableParagraph"/>
              <w:spacing w:before="1"/>
              <w:ind w:left="112"/>
              <w:rPr>
                <w:b/>
                <w:sz w:val="20"/>
              </w:rPr>
            </w:pPr>
            <w:r>
              <w:rPr>
                <w:b/>
                <w:sz w:val="20"/>
              </w:rPr>
              <w:t>Certificate</w:t>
            </w:r>
          </w:p>
        </w:tc>
        <w:tc>
          <w:tcPr>
            <w:tcW w:w="792" w:type="dxa"/>
            <w:vMerge w:val="restart"/>
          </w:tcPr>
          <w:p>
            <w:pPr>
              <w:pStyle w:val="TableParagraph"/>
              <w:spacing w:before="1"/>
              <w:ind w:left="130" w:right="100" w:firstLine="37"/>
              <w:rPr>
                <w:b/>
                <w:sz w:val="20"/>
              </w:rPr>
            </w:pPr>
            <w:r>
              <w:rPr>
                <w:b/>
                <w:sz w:val="20"/>
              </w:rPr>
              <w:t>Mod- Rehab</w:t>
            </w:r>
          </w:p>
        </w:tc>
        <w:tc>
          <w:tcPr>
            <w:tcW w:w="922" w:type="dxa"/>
            <w:vMerge w:val="restart"/>
          </w:tcPr>
          <w:p>
            <w:pPr>
              <w:pStyle w:val="TableParagraph"/>
              <w:spacing w:before="1"/>
              <w:ind w:left="122" w:right="92" w:firstLine="84"/>
              <w:rPr>
                <w:b/>
                <w:sz w:val="20"/>
              </w:rPr>
            </w:pPr>
            <w:r>
              <w:rPr>
                <w:b/>
                <w:sz w:val="20"/>
              </w:rPr>
              <w:t>Public Housing</w:t>
            </w:r>
          </w:p>
        </w:tc>
        <w:tc>
          <w:tcPr>
            <w:tcW w:w="4929" w:type="dxa"/>
            <w:gridSpan w:val="5"/>
          </w:tcPr>
          <w:p>
            <w:pPr>
              <w:pStyle w:val="TableParagraph"/>
              <w:spacing w:line="218" w:lineRule="exact" w:before="1"/>
              <w:ind w:left="112"/>
              <w:rPr>
                <w:b/>
                <w:sz w:val="20"/>
              </w:rPr>
            </w:pPr>
            <w:r>
              <w:rPr>
                <w:b/>
                <w:sz w:val="20"/>
              </w:rPr>
              <w:t>Vouchers</w:t>
            </w:r>
          </w:p>
        </w:tc>
      </w:tr>
      <w:tr>
        <w:trPr>
          <w:trHeight w:val="239" w:hRule="atLeast"/>
        </w:trPr>
        <w:tc>
          <w:tcPr>
            <w:tcW w:w="1616" w:type="dxa"/>
            <w:vMerge/>
            <w:tcBorders>
              <w:top w:val="nil"/>
            </w:tcBorders>
          </w:tcPr>
          <w:p>
            <w:pPr>
              <w:rPr>
                <w:sz w:val="2"/>
                <w:szCs w:val="2"/>
              </w:rPr>
            </w:pPr>
          </w:p>
        </w:tc>
        <w:tc>
          <w:tcPr>
            <w:tcW w:w="1091" w:type="dxa"/>
            <w:vMerge/>
            <w:tcBorders>
              <w:top w:val="nil"/>
            </w:tcBorders>
          </w:tcPr>
          <w:p>
            <w:pPr>
              <w:rPr>
                <w:sz w:val="2"/>
                <w:szCs w:val="2"/>
              </w:rPr>
            </w:pPr>
          </w:p>
        </w:tc>
        <w:tc>
          <w:tcPr>
            <w:tcW w:w="792" w:type="dxa"/>
            <w:vMerge/>
            <w:tcBorders>
              <w:top w:val="nil"/>
            </w:tcBorders>
          </w:tcPr>
          <w:p>
            <w:pPr>
              <w:rPr>
                <w:sz w:val="2"/>
                <w:szCs w:val="2"/>
              </w:rPr>
            </w:pPr>
          </w:p>
        </w:tc>
        <w:tc>
          <w:tcPr>
            <w:tcW w:w="922" w:type="dxa"/>
            <w:vMerge/>
            <w:tcBorders>
              <w:top w:val="nil"/>
            </w:tcBorders>
          </w:tcPr>
          <w:p>
            <w:pPr>
              <w:rPr>
                <w:sz w:val="2"/>
                <w:szCs w:val="2"/>
              </w:rPr>
            </w:pPr>
          </w:p>
        </w:tc>
        <w:tc>
          <w:tcPr>
            <w:tcW w:w="788" w:type="dxa"/>
            <w:vMerge w:val="restart"/>
          </w:tcPr>
          <w:p>
            <w:pPr>
              <w:pStyle w:val="TableParagraph"/>
              <w:spacing w:before="1"/>
              <w:ind w:left="179"/>
              <w:rPr>
                <w:b/>
                <w:sz w:val="20"/>
              </w:rPr>
            </w:pPr>
            <w:r>
              <w:rPr>
                <w:b/>
                <w:sz w:val="20"/>
              </w:rPr>
              <w:t>Total</w:t>
            </w:r>
          </w:p>
        </w:tc>
        <w:tc>
          <w:tcPr>
            <w:tcW w:w="867" w:type="dxa"/>
            <w:vMerge w:val="restart"/>
          </w:tcPr>
          <w:p>
            <w:pPr>
              <w:pStyle w:val="TableParagraph"/>
              <w:spacing w:before="1"/>
              <w:ind w:left="136"/>
              <w:rPr>
                <w:b/>
                <w:sz w:val="20"/>
              </w:rPr>
            </w:pPr>
            <w:r>
              <w:rPr>
                <w:b/>
                <w:sz w:val="20"/>
              </w:rPr>
              <w:t>Project</w:t>
            </w:r>
          </w:p>
          <w:p>
            <w:pPr>
              <w:pStyle w:val="TableParagraph"/>
              <w:ind w:left="153"/>
              <w:rPr>
                <w:b/>
                <w:sz w:val="20"/>
              </w:rPr>
            </w:pPr>
            <w:r>
              <w:rPr>
                <w:b/>
                <w:sz w:val="20"/>
              </w:rPr>
              <w:t>-based</w:t>
            </w:r>
          </w:p>
        </w:tc>
        <w:tc>
          <w:tcPr>
            <w:tcW w:w="861" w:type="dxa"/>
            <w:vMerge w:val="restart"/>
          </w:tcPr>
          <w:p>
            <w:pPr>
              <w:pStyle w:val="TableParagraph"/>
              <w:spacing w:before="1"/>
              <w:ind w:left="136"/>
              <w:rPr>
                <w:b/>
                <w:sz w:val="20"/>
              </w:rPr>
            </w:pPr>
            <w:r>
              <w:rPr>
                <w:b/>
                <w:sz w:val="20"/>
              </w:rPr>
              <w:t>Tenant</w:t>
            </w:r>
          </w:p>
          <w:p>
            <w:pPr>
              <w:pStyle w:val="TableParagraph"/>
              <w:ind w:left="150"/>
              <w:rPr>
                <w:b/>
                <w:sz w:val="20"/>
              </w:rPr>
            </w:pPr>
            <w:r>
              <w:rPr>
                <w:b/>
                <w:sz w:val="20"/>
              </w:rPr>
              <w:t>-based</w:t>
            </w:r>
          </w:p>
        </w:tc>
        <w:tc>
          <w:tcPr>
            <w:tcW w:w="2413" w:type="dxa"/>
            <w:gridSpan w:val="2"/>
          </w:tcPr>
          <w:p>
            <w:pPr>
              <w:pStyle w:val="TableParagraph"/>
              <w:spacing w:line="218" w:lineRule="exact" w:before="1"/>
              <w:ind w:left="179"/>
              <w:rPr>
                <w:b/>
                <w:sz w:val="20"/>
              </w:rPr>
            </w:pPr>
            <w:r>
              <w:rPr>
                <w:b/>
                <w:sz w:val="20"/>
              </w:rPr>
              <w:t>Special Purpose Voucher</w:t>
            </w:r>
          </w:p>
        </w:tc>
      </w:tr>
      <w:tr>
        <w:trPr>
          <w:trHeight w:val="971" w:hRule="atLeast"/>
        </w:trPr>
        <w:tc>
          <w:tcPr>
            <w:tcW w:w="1616" w:type="dxa"/>
            <w:vMerge/>
            <w:tcBorders>
              <w:top w:val="nil"/>
            </w:tcBorders>
          </w:tcPr>
          <w:p>
            <w:pPr>
              <w:rPr>
                <w:sz w:val="2"/>
                <w:szCs w:val="2"/>
              </w:rPr>
            </w:pPr>
          </w:p>
        </w:tc>
        <w:tc>
          <w:tcPr>
            <w:tcW w:w="1091" w:type="dxa"/>
            <w:vMerge/>
            <w:tcBorders>
              <w:top w:val="nil"/>
            </w:tcBorders>
          </w:tcPr>
          <w:p>
            <w:pPr>
              <w:rPr>
                <w:sz w:val="2"/>
                <w:szCs w:val="2"/>
              </w:rPr>
            </w:pPr>
          </w:p>
        </w:tc>
        <w:tc>
          <w:tcPr>
            <w:tcW w:w="792" w:type="dxa"/>
            <w:vMerge/>
            <w:tcBorders>
              <w:top w:val="nil"/>
            </w:tcBorders>
          </w:tcPr>
          <w:p>
            <w:pPr>
              <w:rPr>
                <w:sz w:val="2"/>
                <w:szCs w:val="2"/>
              </w:rPr>
            </w:pPr>
          </w:p>
        </w:tc>
        <w:tc>
          <w:tcPr>
            <w:tcW w:w="922" w:type="dxa"/>
            <w:vMerge/>
            <w:tcBorders>
              <w:top w:val="nil"/>
            </w:tcBorders>
          </w:tcPr>
          <w:p>
            <w:pPr>
              <w:rPr>
                <w:sz w:val="2"/>
                <w:szCs w:val="2"/>
              </w:rPr>
            </w:pPr>
          </w:p>
        </w:tc>
        <w:tc>
          <w:tcPr>
            <w:tcW w:w="788" w:type="dxa"/>
            <w:vMerge/>
            <w:tcBorders>
              <w:top w:val="nil"/>
            </w:tcBorders>
          </w:tcPr>
          <w:p>
            <w:pPr>
              <w:rPr>
                <w:sz w:val="2"/>
                <w:szCs w:val="2"/>
              </w:rPr>
            </w:pPr>
          </w:p>
        </w:tc>
        <w:tc>
          <w:tcPr>
            <w:tcW w:w="867" w:type="dxa"/>
            <w:vMerge/>
            <w:tcBorders>
              <w:top w:val="nil"/>
            </w:tcBorders>
          </w:tcPr>
          <w:p>
            <w:pPr>
              <w:rPr>
                <w:sz w:val="2"/>
                <w:szCs w:val="2"/>
              </w:rPr>
            </w:pPr>
          </w:p>
        </w:tc>
        <w:tc>
          <w:tcPr>
            <w:tcW w:w="861" w:type="dxa"/>
            <w:vMerge/>
            <w:tcBorders>
              <w:top w:val="nil"/>
            </w:tcBorders>
          </w:tcPr>
          <w:p>
            <w:pPr>
              <w:rPr>
                <w:sz w:val="2"/>
                <w:szCs w:val="2"/>
              </w:rPr>
            </w:pPr>
          </w:p>
        </w:tc>
        <w:tc>
          <w:tcPr>
            <w:tcW w:w="1201" w:type="dxa"/>
          </w:tcPr>
          <w:p>
            <w:pPr>
              <w:pStyle w:val="TableParagraph"/>
              <w:spacing w:line="240" w:lineRule="atLeast" w:before="1"/>
              <w:ind w:left="143" w:right="131"/>
              <w:jc w:val="center"/>
              <w:rPr>
                <w:b/>
                <w:sz w:val="20"/>
              </w:rPr>
            </w:pPr>
            <w:r>
              <w:rPr>
                <w:b/>
                <w:sz w:val="20"/>
              </w:rPr>
              <w:t>Veterans Affairs Supportive Housing</w:t>
            </w:r>
          </w:p>
        </w:tc>
        <w:tc>
          <w:tcPr>
            <w:tcW w:w="1212" w:type="dxa"/>
          </w:tcPr>
          <w:p>
            <w:pPr>
              <w:pStyle w:val="TableParagraph"/>
              <w:spacing w:before="1"/>
              <w:ind w:left="145" w:right="133"/>
              <w:jc w:val="center"/>
              <w:rPr>
                <w:b/>
                <w:sz w:val="20"/>
              </w:rPr>
            </w:pPr>
            <w:r>
              <w:rPr>
                <w:b/>
                <w:sz w:val="20"/>
              </w:rPr>
              <w:t>Family Unification Program</w:t>
            </w:r>
          </w:p>
        </w:tc>
      </w:tr>
      <w:tr>
        <w:trPr>
          <w:trHeight w:val="806" w:hRule="atLeast"/>
        </w:trPr>
        <w:tc>
          <w:tcPr>
            <w:tcW w:w="1616" w:type="dxa"/>
          </w:tcPr>
          <w:p>
            <w:pPr>
              <w:pStyle w:val="TableParagraph"/>
              <w:spacing w:line="276" w:lineRule="auto"/>
              <w:ind w:left="112" w:right="127"/>
              <w:rPr>
                <w:sz w:val="22"/>
              </w:rPr>
            </w:pPr>
            <w:r>
              <w:rPr>
                <w:sz w:val="22"/>
              </w:rPr>
              <w:t>Average Annual Income</w:t>
            </w:r>
          </w:p>
        </w:tc>
        <w:tc>
          <w:tcPr>
            <w:tcW w:w="1091" w:type="dxa"/>
          </w:tcPr>
          <w:p>
            <w:pPr>
              <w:pStyle w:val="TableParagraph"/>
              <w:spacing w:before="11"/>
              <w:rPr>
                <w:b/>
                <w:sz w:val="24"/>
              </w:rPr>
            </w:pPr>
          </w:p>
          <w:p>
            <w:pPr>
              <w:pStyle w:val="TableParagraph"/>
              <w:ind w:right="100"/>
              <w:jc w:val="right"/>
              <w:rPr>
                <w:sz w:val="22"/>
              </w:rPr>
            </w:pPr>
            <w:r>
              <w:rPr>
                <w:sz w:val="22"/>
              </w:rPr>
              <w:t>0</w:t>
            </w:r>
          </w:p>
        </w:tc>
        <w:tc>
          <w:tcPr>
            <w:tcW w:w="792" w:type="dxa"/>
          </w:tcPr>
          <w:p>
            <w:pPr>
              <w:pStyle w:val="TableParagraph"/>
              <w:spacing w:before="11"/>
              <w:rPr>
                <w:b/>
                <w:sz w:val="24"/>
              </w:rPr>
            </w:pPr>
          </w:p>
          <w:p>
            <w:pPr>
              <w:pStyle w:val="TableParagraph"/>
              <w:ind w:right="100"/>
              <w:jc w:val="right"/>
              <w:rPr>
                <w:sz w:val="22"/>
              </w:rPr>
            </w:pPr>
            <w:r>
              <w:rPr>
                <w:sz w:val="22"/>
              </w:rPr>
              <w:t>5,436</w:t>
            </w:r>
          </w:p>
        </w:tc>
        <w:tc>
          <w:tcPr>
            <w:tcW w:w="922" w:type="dxa"/>
          </w:tcPr>
          <w:p>
            <w:pPr>
              <w:pStyle w:val="TableParagraph"/>
              <w:spacing w:before="11"/>
              <w:rPr>
                <w:b/>
                <w:sz w:val="24"/>
              </w:rPr>
            </w:pPr>
          </w:p>
          <w:p>
            <w:pPr>
              <w:pStyle w:val="TableParagraph"/>
              <w:ind w:right="100"/>
              <w:jc w:val="right"/>
              <w:rPr>
                <w:sz w:val="22"/>
              </w:rPr>
            </w:pPr>
            <w:r>
              <w:rPr>
                <w:sz w:val="22"/>
              </w:rPr>
              <w:t>7,650</w:t>
            </w:r>
          </w:p>
        </w:tc>
        <w:tc>
          <w:tcPr>
            <w:tcW w:w="788" w:type="dxa"/>
          </w:tcPr>
          <w:p>
            <w:pPr>
              <w:pStyle w:val="TableParagraph"/>
              <w:spacing w:before="11"/>
              <w:rPr>
                <w:b/>
                <w:sz w:val="24"/>
              </w:rPr>
            </w:pPr>
          </w:p>
          <w:p>
            <w:pPr>
              <w:pStyle w:val="TableParagraph"/>
              <w:ind w:right="100"/>
              <w:jc w:val="right"/>
              <w:rPr>
                <w:sz w:val="22"/>
              </w:rPr>
            </w:pPr>
            <w:r>
              <w:rPr>
                <w:sz w:val="22"/>
              </w:rPr>
              <w:t>9,903</w:t>
            </w:r>
          </w:p>
        </w:tc>
        <w:tc>
          <w:tcPr>
            <w:tcW w:w="867" w:type="dxa"/>
          </w:tcPr>
          <w:p>
            <w:pPr>
              <w:pStyle w:val="TableParagraph"/>
              <w:spacing w:before="11"/>
              <w:rPr>
                <w:b/>
                <w:sz w:val="24"/>
              </w:rPr>
            </w:pPr>
          </w:p>
          <w:p>
            <w:pPr>
              <w:pStyle w:val="TableParagraph"/>
              <w:ind w:right="100"/>
              <w:jc w:val="right"/>
              <w:rPr>
                <w:sz w:val="22"/>
              </w:rPr>
            </w:pPr>
            <w:r>
              <w:rPr>
                <w:sz w:val="22"/>
              </w:rPr>
              <w:t>7,810</w:t>
            </w:r>
          </w:p>
        </w:tc>
        <w:tc>
          <w:tcPr>
            <w:tcW w:w="861" w:type="dxa"/>
          </w:tcPr>
          <w:p>
            <w:pPr>
              <w:pStyle w:val="TableParagraph"/>
              <w:spacing w:before="11"/>
              <w:rPr>
                <w:b/>
                <w:sz w:val="24"/>
              </w:rPr>
            </w:pPr>
          </w:p>
          <w:p>
            <w:pPr>
              <w:pStyle w:val="TableParagraph"/>
              <w:ind w:right="100"/>
              <w:jc w:val="right"/>
              <w:rPr>
                <w:sz w:val="22"/>
              </w:rPr>
            </w:pPr>
            <w:r>
              <w:rPr>
                <w:sz w:val="22"/>
              </w:rPr>
              <w:t>9,970</w:t>
            </w:r>
          </w:p>
        </w:tc>
        <w:tc>
          <w:tcPr>
            <w:tcW w:w="1201" w:type="dxa"/>
          </w:tcPr>
          <w:p>
            <w:pPr>
              <w:pStyle w:val="TableParagraph"/>
              <w:spacing w:before="11"/>
              <w:rPr>
                <w:b/>
                <w:sz w:val="24"/>
              </w:rPr>
            </w:pPr>
          </w:p>
          <w:p>
            <w:pPr>
              <w:pStyle w:val="TableParagraph"/>
              <w:ind w:right="100"/>
              <w:jc w:val="right"/>
              <w:rPr>
                <w:sz w:val="22"/>
              </w:rPr>
            </w:pPr>
            <w:r>
              <w:rPr>
                <w:sz w:val="22"/>
              </w:rPr>
              <w:t>6,507</w:t>
            </w:r>
          </w:p>
        </w:tc>
        <w:tc>
          <w:tcPr>
            <w:tcW w:w="1212" w:type="dxa"/>
          </w:tcPr>
          <w:p>
            <w:pPr>
              <w:pStyle w:val="TableParagraph"/>
              <w:spacing w:before="11"/>
              <w:rPr>
                <w:b/>
                <w:sz w:val="24"/>
              </w:rPr>
            </w:pPr>
          </w:p>
          <w:p>
            <w:pPr>
              <w:pStyle w:val="TableParagraph"/>
              <w:ind w:right="100"/>
              <w:jc w:val="right"/>
              <w:rPr>
                <w:sz w:val="22"/>
              </w:rPr>
            </w:pPr>
            <w:r>
              <w:rPr>
                <w:sz w:val="22"/>
              </w:rPr>
              <w:t>0</w:t>
            </w:r>
          </w:p>
        </w:tc>
      </w:tr>
      <w:tr>
        <w:trPr>
          <w:trHeight w:val="812" w:hRule="atLeast"/>
        </w:trPr>
        <w:tc>
          <w:tcPr>
            <w:tcW w:w="1616" w:type="dxa"/>
          </w:tcPr>
          <w:p>
            <w:pPr>
              <w:pStyle w:val="TableParagraph"/>
              <w:spacing w:line="276" w:lineRule="auto" w:before="1"/>
              <w:ind w:left="112" w:right="119"/>
              <w:rPr>
                <w:sz w:val="22"/>
              </w:rPr>
            </w:pPr>
            <w:r>
              <w:rPr>
                <w:sz w:val="22"/>
              </w:rPr>
              <w:t>Average length of stay</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92" w:type="dxa"/>
          </w:tcPr>
          <w:p>
            <w:pPr>
              <w:pStyle w:val="TableParagraph"/>
              <w:spacing w:before="5"/>
              <w:rPr>
                <w:b/>
                <w:sz w:val="25"/>
              </w:rPr>
            </w:pPr>
          </w:p>
          <w:p>
            <w:pPr>
              <w:pStyle w:val="TableParagraph"/>
              <w:ind w:right="100"/>
              <w:jc w:val="right"/>
              <w:rPr>
                <w:sz w:val="22"/>
              </w:rPr>
            </w:pPr>
            <w:r>
              <w:rPr>
                <w:sz w:val="22"/>
              </w:rPr>
              <w:t>0</w:t>
            </w:r>
          </w:p>
        </w:tc>
        <w:tc>
          <w:tcPr>
            <w:tcW w:w="922" w:type="dxa"/>
          </w:tcPr>
          <w:p>
            <w:pPr>
              <w:pStyle w:val="TableParagraph"/>
              <w:spacing w:before="5"/>
              <w:rPr>
                <w:b/>
                <w:sz w:val="25"/>
              </w:rPr>
            </w:pPr>
          </w:p>
          <w:p>
            <w:pPr>
              <w:pStyle w:val="TableParagraph"/>
              <w:ind w:right="100"/>
              <w:jc w:val="right"/>
              <w:rPr>
                <w:sz w:val="22"/>
              </w:rPr>
            </w:pPr>
            <w:r>
              <w:rPr>
                <w:sz w:val="22"/>
              </w:rPr>
              <w:t>3</w:t>
            </w:r>
          </w:p>
        </w:tc>
        <w:tc>
          <w:tcPr>
            <w:tcW w:w="788" w:type="dxa"/>
          </w:tcPr>
          <w:p>
            <w:pPr>
              <w:pStyle w:val="TableParagraph"/>
              <w:spacing w:before="5"/>
              <w:rPr>
                <w:b/>
                <w:sz w:val="25"/>
              </w:rPr>
            </w:pPr>
          </w:p>
          <w:p>
            <w:pPr>
              <w:pStyle w:val="TableParagraph"/>
              <w:ind w:right="100"/>
              <w:jc w:val="right"/>
              <w:rPr>
                <w:sz w:val="22"/>
              </w:rPr>
            </w:pPr>
            <w:r>
              <w:rPr>
                <w:sz w:val="22"/>
              </w:rPr>
              <w:t>6</w:t>
            </w:r>
          </w:p>
        </w:tc>
        <w:tc>
          <w:tcPr>
            <w:tcW w:w="867" w:type="dxa"/>
          </w:tcPr>
          <w:p>
            <w:pPr>
              <w:pStyle w:val="TableParagraph"/>
              <w:spacing w:before="5"/>
              <w:rPr>
                <w:b/>
                <w:sz w:val="25"/>
              </w:rPr>
            </w:pPr>
          </w:p>
          <w:p>
            <w:pPr>
              <w:pStyle w:val="TableParagraph"/>
              <w:ind w:right="100"/>
              <w:jc w:val="right"/>
              <w:rPr>
                <w:sz w:val="22"/>
              </w:rPr>
            </w:pPr>
            <w:r>
              <w:rPr>
                <w:sz w:val="22"/>
              </w:rPr>
              <w:t>2</w:t>
            </w:r>
          </w:p>
        </w:tc>
        <w:tc>
          <w:tcPr>
            <w:tcW w:w="861" w:type="dxa"/>
          </w:tcPr>
          <w:p>
            <w:pPr>
              <w:pStyle w:val="TableParagraph"/>
              <w:spacing w:before="5"/>
              <w:rPr>
                <w:b/>
                <w:sz w:val="25"/>
              </w:rPr>
            </w:pPr>
          </w:p>
          <w:p>
            <w:pPr>
              <w:pStyle w:val="TableParagraph"/>
              <w:ind w:right="100"/>
              <w:jc w:val="right"/>
              <w:rPr>
                <w:sz w:val="22"/>
              </w:rPr>
            </w:pPr>
            <w:r>
              <w:rPr>
                <w:sz w:val="22"/>
              </w:rPr>
              <w:t>6</w:t>
            </w:r>
          </w:p>
        </w:tc>
        <w:tc>
          <w:tcPr>
            <w:tcW w:w="1201" w:type="dxa"/>
          </w:tcPr>
          <w:p>
            <w:pPr>
              <w:pStyle w:val="TableParagraph"/>
              <w:spacing w:before="5"/>
              <w:rPr>
                <w:b/>
                <w:sz w:val="25"/>
              </w:rPr>
            </w:pPr>
          </w:p>
          <w:p>
            <w:pPr>
              <w:pStyle w:val="TableParagraph"/>
              <w:ind w:right="100"/>
              <w:jc w:val="right"/>
              <w:rPr>
                <w:sz w:val="22"/>
              </w:rPr>
            </w:pPr>
            <w:r>
              <w:rPr>
                <w:sz w:val="22"/>
              </w:rPr>
              <w:t>0</w:t>
            </w:r>
          </w:p>
        </w:tc>
        <w:tc>
          <w:tcPr>
            <w:tcW w:w="1212" w:type="dxa"/>
          </w:tcPr>
          <w:p>
            <w:pPr>
              <w:pStyle w:val="TableParagraph"/>
              <w:spacing w:before="5"/>
              <w:rPr>
                <w:b/>
                <w:sz w:val="25"/>
              </w:rPr>
            </w:pPr>
          </w:p>
          <w:p>
            <w:pPr>
              <w:pStyle w:val="TableParagraph"/>
              <w:ind w:right="100"/>
              <w:jc w:val="right"/>
              <w:rPr>
                <w:sz w:val="22"/>
              </w:rPr>
            </w:pPr>
            <w:r>
              <w:rPr>
                <w:sz w:val="22"/>
              </w:rPr>
              <w:t>0</w:t>
            </w:r>
          </w:p>
        </w:tc>
      </w:tr>
      <w:tr>
        <w:trPr>
          <w:trHeight w:val="812" w:hRule="atLeast"/>
        </w:trPr>
        <w:tc>
          <w:tcPr>
            <w:tcW w:w="1616" w:type="dxa"/>
          </w:tcPr>
          <w:p>
            <w:pPr>
              <w:pStyle w:val="TableParagraph"/>
              <w:spacing w:line="276" w:lineRule="auto" w:before="1"/>
              <w:ind w:left="112" w:right="124"/>
              <w:rPr>
                <w:sz w:val="22"/>
              </w:rPr>
            </w:pPr>
            <w:r>
              <w:rPr>
                <w:sz w:val="22"/>
              </w:rPr>
              <w:t>Average Household size</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92" w:type="dxa"/>
          </w:tcPr>
          <w:p>
            <w:pPr>
              <w:pStyle w:val="TableParagraph"/>
              <w:spacing w:before="5"/>
              <w:rPr>
                <w:b/>
                <w:sz w:val="25"/>
              </w:rPr>
            </w:pPr>
          </w:p>
          <w:p>
            <w:pPr>
              <w:pStyle w:val="TableParagraph"/>
              <w:ind w:right="100"/>
              <w:jc w:val="right"/>
              <w:rPr>
                <w:sz w:val="22"/>
              </w:rPr>
            </w:pPr>
            <w:r>
              <w:rPr>
                <w:sz w:val="22"/>
              </w:rPr>
              <w:t>1</w:t>
            </w:r>
          </w:p>
        </w:tc>
        <w:tc>
          <w:tcPr>
            <w:tcW w:w="922" w:type="dxa"/>
          </w:tcPr>
          <w:p>
            <w:pPr>
              <w:pStyle w:val="TableParagraph"/>
              <w:spacing w:before="5"/>
              <w:rPr>
                <w:b/>
                <w:sz w:val="25"/>
              </w:rPr>
            </w:pPr>
          </w:p>
          <w:p>
            <w:pPr>
              <w:pStyle w:val="TableParagraph"/>
              <w:ind w:right="100"/>
              <w:jc w:val="right"/>
              <w:rPr>
                <w:sz w:val="22"/>
              </w:rPr>
            </w:pPr>
            <w:r>
              <w:rPr>
                <w:sz w:val="22"/>
              </w:rPr>
              <w:t>2</w:t>
            </w:r>
          </w:p>
        </w:tc>
        <w:tc>
          <w:tcPr>
            <w:tcW w:w="788" w:type="dxa"/>
          </w:tcPr>
          <w:p>
            <w:pPr>
              <w:pStyle w:val="TableParagraph"/>
              <w:spacing w:before="5"/>
              <w:rPr>
                <w:b/>
                <w:sz w:val="25"/>
              </w:rPr>
            </w:pPr>
          </w:p>
          <w:p>
            <w:pPr>
              <w:pStyle w:val="TableParagraph"/>
              <w:ind w:right="100"/>
              <w:jc w:val="right"/>
              <w:rPr>
                <w:sz w:val="22"/>
              </w:rPr>
            </w:pPr>
            <w:r>
              <w:rPr>
                <w:sz w:val="22"/>
              </w:rPr>
              <w:t>2</w:t>
            </w:r>
          </w:p>
        </w:tc>
        <w:tc>
          <w:tcPr>
            <w:tcW w:w="867" w:type="dxa"/>
          </w:tcPr>
          <w:p>
            <w:pPr>
              <w:pStyle w:val="TableParagraph"/>
              <w:spacing w:before="5"/>
              <w:rPr>
                <w:b/>
                <w:sz w:val="25"/>
              </w:rPr>
            </w:pPr>
          </w:p>
          <w:p>
            <w:pPr>
              <w:pStyle w:val="TableParagraph"/>
              <w:ind w:right="100"/>
              <w:jc w:val="right"/>
              <w:rPr>
                <w:sz w:val="22"/>
              </w:rPr>
            </w:pPr>
            <w:r>
              <w:rPr>
                <w:sz w:val="22"/>
              </w:rPr>
              <w:t>2</w:t>
            </w:r>
          </w:p>
        </w:tc>
        <w:tc>
          <w:tcPr>
            <w:tcW w:w="861" w:type="dxa"/>
          </w:tcPr>
          <w:p>
            <w:pPr>
              <w:pStyle w:val="TableParagraph"/>
              <w:spacing w:before="5"/>
              <w:rPr>
                <w:b/>
                <w:sz w:val="25"/>
              </w:rPr>
            </w:pPr>
          </w:p>
          <w:p>
            <w:pPr>
              <w:pStyle w:val="TableParagraph"/>
              <w:ind w:right="100"/>
              <w:jc w:val="right"/>
              <w:rPr>
                <w:sz w:val="22"/>
              </w:rPr>
            </w:pPr>
            <w:r>
              <w:rPr>
                <w:sz w:val="22"/>
              </w:rPr>
              <w:t>2</w:t>
            </w:r>
          </w:p>
        </w:tc>
        <w:tc>
          <w:tcPr>
            <w:tcW w:w="1201" w:type="dxa"/>
          </w:tcPr>
          <w:p>
            <w:pPr>
              <w:pStyle w:val="TableParagraph"/>
              <w:spacing w:before="5"/>
              <w:rPr>
                <w:b/>
                <w:sz w:val="25"/>
              </w:rPr>
            </w:pPr>
          </w:p>
          <w:p>
            <w:pPr>
              <w:pStyle w:val="TableParagraph"/>
              <w:ind w:right="100"/>
              <w:jc w:val="right"/>
              <w:rPr>
                <w:sz w:val="22"/>
              </w:rPr>
            </w:pPr>
            <w:r>
              <w:rPr>
                <w:sz w:val="22"/>
              </w:rPr>
              <w:t>1</w:t>
            </w:r>
          </w:p>
        </w:tc>
        <w:tc>
          <w:tcPr>
            <w:tcW w:w="1212" w:type="dxa"/>
          </w:tcPr>
          <w:p>
            <w:pPr>
              <w:pStyle w:val="TableParagraph"/>
              <w:spacing w:before="5"/>
              <w:rPr>
                <w:b/>
                <w:sz w:val="25"/>
              </w:rPr>
            </w:pPr>
          </w:p>
          <w:p>
            <w:pPr>
              <w:pStyle w:val="TableParagraph"/>
              <w:ind w:right="100"/>
              <w:jc w:val="right"/>
              <w:rPr>
                <w:sz w:val="22"/>
              </w:rPr>
            </w:pPr>
            <w:r>
              <w:rPr>
                <w:sz w:val="22"/>
              </w:rPr>
              <w:t>0</w:t>
            </w:r>
          </w:p>
        </w:tc>
      </w:tr>
      <w:tr>
        <w:trPr>
          <w:trHeight w:val="812" w:hRule="atLeast"/>
        </w:trPr>
        <w:tc>
          <w:tcPr>
            <w:tcW w:w="1616" w:type="dxa"/>
          </w:tcPr>
          <w:p>
            <w:pPr>
              <w:pStyle w:val="TableParagraph"/>
              <w:spacing w:line="276" w:lineRule="auto" w:before="1"/>
              <w:ind w:left="112" w:right="210"/>
              <w:rPr>
                <w:sz w:val="22"/>
              </w:rPr>
            </w:pPr>
            <w:r>
              <w:rPr>
                <w:sz w:val="22"/>
              </w:rPr>
              <w:t># Homeless at admission</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92" w:type="dxa"/>
          </w:tcPr>
          <w:p>
            <w:pPr>
              <w:pStyle w:val="TableParagraph"/>
              <w:spacing w:before="5"/>
              <w:rPr>
                <w:b/>
                <w:sz w:val="25"/>
              </w:rPr>
            </w:pPr>
          </w:p>
          <w:p>
            <w:pPr>
              <w:pStyle w:val="TableParagraph"/>
              <w:ind w:right="100"/>
              <w:jc w:val="right"/>
              <w:rPr>
                <w:sz w:val="22"/>
              </w:rPr>
            </w:pPr>
            <w:r>
              <w:rPr>
                <w:sz w:val="22"/>
              </w:rPr>
              <w:t>4</w:t>
            </w:r>
          </w:p>
        </w:tc>
        <w:tc>
          <w:tcPr>
            <w:tcW w:w="922" w:type="dxa"/>
          </w:tcPr>
          <w:p>
            <w:pPr>
              <w:pStyle w:val="TableParagraph"/>
              <w:spacing w:before="5"/>
              <w:rPr>
                <w:b/>
                <w:sz w:val="25"/>
              </w:rPr>
            </w:pPr>
          </w:p>
          <w:p>
            <w:pPr>
              <w:pStyle w:val="TableParagraph"/>
              <w:ind w:right="100"/>
              <w:jc w:val="right"/>
              <w:rPr>
                <w:sz w:val="22"/>
              </w:rPr>
            </w:pPr>
            <w:r>
              <w:rPr>
                <w:sz w:val="22"/>
              </w:rPr>
              <w:t>2</w:t>
            </w:r>
          </w:p>
        </w:tc>
        <w:tc>
          <w:tcPr>
            <w:tcW w:w="788" w:type="dxa"/>
          </w:tcPr>
          <w:p>
            <w:pPr>
              <w:pStyle w:val="TableParagraph"/>
              <w:spacing w:before="5"/>
              <w:rPr>
                <w:b/>
                <w:sz w:val="25"/>
              </w:rPr>
            </w:pPr>
          </w:p>
          <w:p>
            <w:pPr>
              <w:pStyle w:val="TableParagraph"/>
              <w:ind w:right="100"/>
              <w:jc w:val="right"/>
              <w:rPr>
                <w:sz w:val="22"/>
              </w:rPr>
            </w:pPr>
            <w:r>
              <w:rPr>
                <w:sz w:val="22"/>
              </w:rPr>
              <w:t>12</w:t>
            </w:r>
          </w:p>
        </w:tc>
        <w:tc>
          <w:tcPr>
            <w:tcW w:w="867" w:type="dxa"/>
          </w:tcPr>
          <w:p>
            <w:pPr>
              <w:pStyle w:val="TableParagraph"/>
              <w:spacing w:before="5"/>
              <w:rPr>
                <w:b/>
                <w:sz w:val="25"/>
              </w:rPr>
            </w:pPr>
          </w:p>
          <w:p>
            <w:pPr>
              <w:pStyle w:val="TableParagraph"/>
              <w:ind w:right="100"/>
              <w:jc w:val="right"/>
              <w:rPr>
                <w:sz w:val="22"/>
              </w:rPr>
            </w:pPr>
            <w:r>
              <w:rPr>
                <w:sz w:val="22"/>
              </w:rPr>
              <w:t>0</w:t>
            </w:r>
          </w:p>
        </w:tc>
        <w:tc>
          <w:tcPr>
            <w:tcW w:w="861" w:type="dxa"/>
          </w:tcPr>
          <w:p>
            <w:pPr>
              <w:pStyle w:val="TableParagraph"/>
              <w:spacing w:before="5"/>
              <w:rPr>
                <w:b/>
                <w:sz w:val="25"/>
              </w:rPr>
            </w:pPr>
          </w:p>
          <w:p>
            <w:pPr>
              <w:pStyle w:val="TableParagraph"/>
              <w:ind w:right="100"/>
              <w:jc w:val="right"/>
              <w:rPr>
                <w:sz w:val="22"/>
              </w:rPr>
            </w:pPr>
            <w:r>
              <w:rPr>
                <w:sz w:val="22"/>
              </w:rPr>
              <w:t>11</w:t>
            </w:r>
          </w:p>
        </w:tc>
        <w:tc>
          <w:tcPr>
            <w:tcW w:w="1201" w:type="dxa"/>
          </w:tcPr>
          <w:p>
            <w:pPr>
              <w:pStyle w:val="TableParagraph"/>
              <w:spacing w:before="5"/>
              <w:rPr>
                <w:b/>
                <w:sz w:val="25"/>
              </w:rPr>
            </w:pPr>
          </w:p>
          <w:p>
            <w:pPr>
              <w:pStyle w:val="TableParagraph"/>
              <w:ind w:right="100"/>
              <w:jc w:val="right"/>
              <w:rPr>
                <w:sz w:val="22"/>
              </w:rPr>
            </w:pPr>
            <w:r>
              <w:rPr>
                <w:sz w:val="22"/>
              </w:rPr>
              <w:t>1</w:t>
            </w:r>
          </w:p>
        </w:tc>
        <w:tc>
          <w:tcPr>
            <w:tcW w:w="1212" w:type="dxa"/>
          </w:tcPr>
          <w:p>
            <w:pPr>
              <w:pStyle w:val="TableParagraph"/>
              <w:spacing w:before="5"/>
              <w:rPr>
                <w:b/>
                <w:sz w:val="25"/>
              </w:rPr>
            </w:pPr>
          </w:p>
          <w:p>
            <w:pPr>
              <w:pStyle w:val="TableParagraph"/>
              <w:ind w:right="100"/>
              <w:jc w:val="right"/>
              <w:rPr>
                <w:sz w:val="22"/>
              </w:rPr>
            </w:pPr>
            <w:r>
              <w:rPr>
                <w:sz w:val="22"/>
              </w:rPr>
              <w:t>0</w:t>
            </w:r>
          </w:p>
        </w:tc>
      </w:tr>
      <w:tr>
        <w:trPr>
          <w:trHeight w:val="1430" w:hRule="atLeast"/>
        </w:trPr>
        <w:tc>
          <w:tcPr>
            <w:tcW w:w="1616" w:type="dxa"/>
          </w:tcPr>
          <w:p>
            <w:pPr>
              <w:pStyle w:val="TableParagraph"/>
              <w:spacing w:line="276" w:lineRule="auto" w:before="1"/>
              <w:ind w:left="112" w:right="409"/>
              <w:rPr>
                <w:sz w:val="22"/>
              </w:rPr>
            </w:pPr>
            <w:r>
              <w:rPr>
                <w:sz w:val="22"/>
              </w:rPr>
              <w:t># of Elderly Program Participants (&gt;62)</w:t>
            </w:r>
          </w:p>
        </w:tc>
        <w:tc>
          <w:tcPr>
            <w:tcW w:w="109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0</w:t>
            </w:r>
          </w:p>
        </w:tc>
        <w:tc>
          <w:tcPr>
            <w:tcW w:w="79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0</w:t>
            </w:r>
          </w:p>
        </w:tc>
        <w:tc>
          <w:tcPr>
            <w:tcW w:w="92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42</w:t>
            </w:r>
          </w:p>
        </w:tc>
        <w:tc>
          <w:tcPr>
            <w:tcW w:w="788"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204</w:t>
            </w:r>
          </w:p>
        </w:tc>
        <w:tc>
          <w:tcPr>
            <w:tcW w:w="867"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5</w:t>
            </w:r>
          </w:p>
        </w:tc>
        <w:tc>
          <w:tcPr>
            <w:tcW w:w="86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198</w:t>
            </w:r>
          </w:p>
        </w:tc>
        <w:tc>
          <w:tcPr>
            <w:tcW w:w="120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1</w:t>
            </w:r>
          </w:p>
        </w:tc>
        <w:tc>
          <w:tcPr>
            <w:tcW w:w="121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0</w:t>
            </w:r>
          </w:p>
        </w:tc>
      </w:tr>
      <w:tr>
        <w:trPr>
          <w:trHeight w:val="812" w:hRule="atLeast"/>
        </w:trPr>
        <w:tc>
          <w:tcPr>
            <w:tcW w:w="1616" w:type="dxa"/>
          </w:tcPr>
          <w:p>
            <w:pPr>
              <w:pStyle w:val="TableParagraph"/>
              <w:spacing w:line="276" w:lineRule="auto" w:before="1"/>
              <w:ind w:left="112" w:right="308"/>
              <w:rPr>
                <w:sz w:val="22"/>
              </w:rPr>
            </w:pPr>
            <w:r>
              <w:rPr>
                <w:sz w:val="22"/>
              </w:rPr>
              <w:t># of Disabled Families</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92" w:type="dxa"/>
          </w:tcPr>
          <w:p>
            <w:pPr>
              <w:pStyle w:val="TableParagraph"/>
              <w:spacing w:before="5"/>
              <w:rPr>
                <w:b/>
                <w:sz w:val="25"/>
              </w:rPr>
            </w:pPr>
          </w:p>
          <w:p>
            <w:pPr>
              <w:pStyle w:val="TableParagraph"/>
              <w:ind w:right="100"/>
              <w:jc w:val="right"/>
              <w:rPr>
                <w:sz w:val="22"/>
              </w:rPr>
            </w:pPr>
            <w:r>
              <w:rPr>
                <w:sz w:val="22"/>
              </w:rPr>
              <w:t>10</w:t>
            </w:r>
          </w:p>
        </w:tc>
        <w:tc>
          <w:tcPr>
            <w:tcW w:w="922" w:type="dxa"/>
          </w:tcPr>
          <w:p>
            <w:pPr>
              <w:pStyle w:val="TableParagraph"/>
              <w:spacing w:before="5"/>
              <w:rPr>
                <w:b/>
                <w:sz w:val="25"/>
              </w:rPr>
            </w:pPr>
          </w:p>
          <w:p>
            <w:pPr>
              <w:pStyle w:val="TableParagraph"/>
              <w:ind w:right="100"/>
              <w:jc w:val="right"/>
              <w:rPr>
                <w:sz w:val="22"/>
              </w:rPr>
            </w:pPr>
            <w:r>
              <w:rPr>
                <w:sz w:val="22"/>
              </w:rPr>
              <w:t>80</w:t>
            </w:r>
          </w:p>
        </w:tc>
        <w:tc>
          <w:tcPr>
            <w:tcW w:w="788" w:type="dxa"/>
          </w:tcPr>
          <w:p>
            <w:pPr>
              <w:pStyle w:val="TableParagraph"/>
              <w:spacing w:before="5"/>
              <w:rPr>
                <w:b/>
                <w:sz w:val="25"/>
              </w:rPr>
            </w:pPr>
          </w:p>
          <w:p>
            <w:pPr>
              <w:pStyle w:val="TableParagraph"/>
              <w:ind w:right="100"/>
              <w:jc w:val="right"/>
              <w:rPr>
                <w:sz w:val="22"/>
              </w:rPr>
            </w:pPr>
            <w:r>
              <w:rPr>
                <w:sz w:val="22"/>
              </w:rPr>
              <w:t>511</w:t>
            </w:r>
          </w:p>
        </w:tc>
        <w:tc>
          <w:tcPr>
            <w:tcW w:w="867" w:type="dxa"/>
          </w:tcPr>
          <w:p>
            <w:pPr>
              <w:pStyle w:val="TableParagraph"/>
              <w:spacing w:before="5"/>
              <w:rPr>
                <w:b/>
                <w:sz w:val="25"/>
              </w:rPr>
            </w:pPr>
          </w:p>
          <w:p>
            <w:pPr>
              <w:pStyle w:val="TableParagraph"/>
              <w:ind w:right="100"/>
              <w:jc w:val="right"/>
              <w:rPr>
                <w:sz w:val="22"/>
              </w:rPr>
            </w:pPr>
            <w:r>
              <w:rPr>
                <w:sz w:val="22"/>
              </w:rPr>
              <w:t>4</w:t>
            </w:r>
          </w:p>
        </w:tc>
        <w:tc>
          <w:tcPr>
            <w:tcW w:w="861" w:type="dxa"/>
          </w:tcPr>
          <w:p>
            <w:pPr>
              <w:pStyle w:val="TableParagraph"/>
              <w:spacing w:before="5"/>
              <w:rPr>
                <w:b/>
                <w:sz w:val="25"/>
              </w:rPr>
            </w:pPr>
          </w:p>
          <w:p>
            <w:pPr>
              <w:pStyle w:val="TableParagraph"/>
              <w:ind w:right="100"/>
              <w:jc w:val="right"/>
              <w:rPr>
                <w:sz w:val="22"/>
              </w:rPr>
            </w:pPr>
            <w:r>
              <w:rPr>
                <w:sz w:val="22"/>
              </w:rPr>
              <w:t>477</w:t>
            </w:r>
          </w:p>
        </w:tc>
        <w:tc>
          <w:tcPr>
            <w:tcW w:w="1201" w:type="dxa"/>
          </w:tcPr>
          <w:p>
            <w:pPr>
              <w:pStyle w:val="TableParagraph"/>
              <w:spacing w:before="5"/>
              <w:rPr>
                <w:b/>
                <w:sz w:val="25"/>
              </w:rPr>
            </w:pPr>
          </w:p>
          <w:p>
            <w:pPr>
              <w:pStyle w:val="TableParagraph"/>
              <w:ind w:right="100"/>
              <w:jc w:val="right"/>
              <w:rPr>
                <w:sz w:val="22"/>
              </w:rPr>
            </w:pPr>
            <w:r>
              <w:rPr>
                <w:sz w:val="22"/>
              </w:rPr>
              <w:t>22</w:t>
            </w:r>
          </w:p>
        </w:tc>
        <w:tc>
          <w:tcPr>
            <w:tcW w:w="1212" w:type="dxa"/>
          </w:tcPr>
          <w:p>
            <w:pPr>
              <w:pStyle w:val="TableParagraph"/>
              <w:spacing w:before="5"/>
              <w:rPr>
                <w:b/>
                <w:sz w:val="25"/>
              </w:rPr>
            </w:pPr>
          </w:p>
          <w:p>
            <w:pPr>
              <w:pStyle w:val="TableParagraph"/>
              <w:ind w:right="100"/>
              <w:jc w:val="right"/>
              <w:rPr>
                <w:sz w:val="22"/>
              </w:rPr>
            </w:pPr>
            <w:r>
              <w:rPr>
                <w:sz w:val="22"/>
              </w:rPr>
              <w:t>0</w:t>
            </w:r>
          </w:p>
        </w:tc>
      </w:tr>
      <w:tr>
        <w:trPr>
          <w:trHeight w:val="1430" w:hRule="atLeast"/>
        </w:trPr>
        <w:tc>
          <w:tcPr>
            <w:tcW w:w="1616" w:type="dxa"/>
          </w:tcPr>
          <w:p>
            <w:pPr>
              <w:pStyle w:val="TableParagraph"/>
              <w:spacing w:line="276" w:lineRule="auto" w:before="1"/>
              <w:ind w:left="112" w:right="347"/>
              <w:rPr>
                <w:sz w:val="22"/>
              </w:rPr>
            </w:pPr>
            <w:r>
              <w:rPr>
                <w:sz w:val="22"/>
              </w:rPr>
              <w:t># of Families requesting accessibility features</w:t>
            </w:r>
          </w:p>
        </w:tc>
        <w:tc>
          <w:tcPr>
            <w:tcW w:w="109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0</w:t>
            </w:r>
          </w:p>
        </w:tc>
        <w:tc>
          <w:tcPr>
            <w:tcW w:w="79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11</w:t>
            </w:r>
          </w:p>
        </w:tc>
        <w:tc>
          <w:tcPr>
            <w:tcW w:w="92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296</w:t>
            </w:r>
          </w:p>
        </w:tc>
        <w:tc>
          <w:tcPr>
            <w:tcW w:w="788"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1,249</w:t>
            </w:r>
          </w:p>
        </w:tc>
        <w:tc>
          <w:tcPr>
            <w:tcW w:w="867"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22</w:t>
            </w:r>
          </w:p>
        </w:tc>
        <w:tc>
          <w:tcPr>
            <w:tcW w:w="86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1,181</w:t>
            </w:r>
          </w:p>
        </w:tc>
        <w:tc>
          <w:tcPr>
            <w:tcW w:w="1201"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35</w:t>
            </w:r>
          </w:p>
        </w:tc>
        <w:tc>
          <w:tcPr>
            <w:tcW w:w="1212" w:type="dxa"/>
          </w:tcPr>
          <w:p>
            <w:pPr>
              <w:pStyle w:val="TableParagraph"/>
              <w:rPr>
                <w:b/>
                <w:sz w:val="22"/>
              </w:rPr>
            </w:pPr>
          </w:p>
          <w:p>
            <w:pPr>
              <w:pStyle w:val="TableParagraph"/>
              <w:rPr>
                <w:b/>
                <w:sz w:val="22"/>
              </w:rPr>
            </w:pPr>
          </w:p>
          <w:p>
            <w:pPr>
              <w:pStyle w:val="TableParagraph"/>
              <w:rPr>
                <w:b/>
                <w:sz w:val="32"/>
              </w:rPr>
            </w:pPr>
          </w:p>
          <w:p>
            <w:pPr>
              <w:pStyle w:val="TableParagraph"/>
              <w:ind w:right="100"/>
              <w:jc w:val="right"/>
              <w:rPr>
                <w:sz w:val="22"/>
              </w:rPr>
            </w:pPr>
            <w:r>
              <w:rPr>
                <w:sz w:val="22"/>
              </w:rPr>
              <w:t>0</w:t>
            </w:r>
          </w:p>
        </w:tc>
      </w:tr>
      <w:tr>
        <w:trPr>
          <w:trHeight w:val="1121" w:hRule="atLeast"/>
        </w:trPr>
        <w:tc>
          <w:tcPr>
            <w:tcW w:w="1616" w:type="dxa"/>
          </w:tcPr>
          <w:p>
            <w:pPr>
              <w:pStyle w:val="TableParagraph"/>
              <w:spacing w:before="1"/>
              <w:ind w:left="112"/>
              <w:rPr>
                <w:sz w:val="22"/>
              </w:rPr>
            </w:pPr>
            <w:r>
              <w:rPr>
                <w:sz w:val="22"/>
              </w:rPr>
              <w:t># of HIV/AIDS</w:t>
            </w:r>
          </w:p>
          <w:p>
            <w:pPr>
              <w:pStyle w:val="TableParagraph"/>
              <w:spacing w:line="276" w:lineRule="auto" w:before="41"/>
              <w:ind w:left="112" w:right="407"/>
              <w:rPr>
                <w:sz w:val="22"/>
              </w:rPr>
            </w:pPr>
            <w:r>
              <w:rPr>
                <w:sz w:val="22"/>
              </w:rPr>
              <w:t>program participants</w:t>
            </w:r>
          </w:p>
        </w:tc>
        <w:tc>
          <w:tcPr>
            <w:tcW w:w="1091"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792"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922"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788"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867"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861"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1201"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1212"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r>
      <w:tr>
        <w:trPr>
          <w:trHeight w:val="503" w:hRule="atLeast"/>
        </w:trPr>
        <w:tc>
          <w:tcPr>
            <w:tcW w:w="1616" w:type="dxa"/>
          </w:tcPr>
          <w:p>
            <w:pPr>
              <w:pStyle w:val="TableParagraph"/>
              <w:spacing w:before="1"/>
              <w:ind w:left="112"/>
              <w:rPr>
                <w:sz w:val="22"/>
              </w:rPr>
            </w:pPr>
            <w:r>
              <w:rPr>
                <w:sz w:val="22"/>
              </w:rPr>
              <w:t># of DV victims</w:t>
            </w:r>
          </w:p>
        </w:tc>
        <w:tc>
          <w:tcPr>
            <w:tcW w:w="1091" w:type="dxa"/>
          </w:tcPr>
          <w:p>
            <w:pPr>
              <w:pStyle w:val="TableParagraph"/>
              <w:spacing w:before="1"/>
              <w:ind w:right="100"/>
              <w:jc w:val="right"/>
              <w:rPr>
                <w:sz w:val="22"/>
              </w:rPr>
            </w:pPr>
            <w:r>
              <w:rPr>
                <w:sz w:val="22"/>
              </w:rPr>
              <w:t>0</w:t>
            </w:r>
          </w:p>
        </w:tc>
        <w:tc>
          <w:tcPr>
            <w:tcW w:w="792" w:type="dxa"/>
          </w:tcPr>
          <w:p>
            <w:pPr>
              <w:pStyle w:val="TableParagraph"/>
              <w:spacing w:before="1"/>
              <w:ind w:right="100"/>
              <w:jc w:val="right"/>
              <w:rPr>
                <w:sz w:val="22"/>
              </w:rPr>
            </w:pPr>
            <w:r>
              <w:rPr>
                <w:sz w:val="22"/>
              </w:rPr>
              <w:t>0</w:t>
            </w:r>
          </w:p>
        </w:tc>
        <w:tc>
          <w:tcPr>
            <w:tcW w:w="922" w:type="dxa"/>
          </w:tcPr>
          <w:p>
            <w:pPr>
              <w:pStyle w:val="TableParagraph"/>
              <w:spacing w:before="1"/>
              <w:ind w:right="100"/>
              <w:jc w:val="right"/>
              <w:rPr>
                <w:sz w:val="22"/>
              </w:rPr>
            </w:pPr>
            <w:r>
              <w:rPr>
                <w:sz w:val="22"/>
              </w:rPr>
              <w:t>0</w:t>
            </w:r>
          </w:p>
        </w:tc>
        <w:tc>
          <w:tcPr>
            <w:tcW w:w="788" w:type="dxa"/>
          </w:tcPr>
          <w:p>
            <w:pPr>
              <w:pStyle w:val="TableParagraph"/>
              <w:spacing w:before="1"/>
              <w:ind w:right="100"/>
              <w:jc w:val="right"/>
              <w:rPr>
                <w:sz w:val="22"/>
              </w:rPr>
            </w:pPr>
            <w:r>
              <w:rPr>
                <w:sz w:val="22"/>
              </w:rPr>
              <w:t>0</w:t>
            </w:r>
          </w:p>
        </w:tc>
        <w:tc>
          <w:tcPr>
            <w:tcW w:w="867" w:type="dxa"/>
          </w:tcPr>
          <w:p>
            <w:pPr>
              <w:pStyle w:val="TableParagraph"/>
              <w:spacing w:before="1"/>
              <w:ind w:right="100"/>
              <w:jc w:val="right"/>
              <w:rPr>
                <w:sz w:val="22"/>
              </w:rPr>
            </w:pPr>
            <w:r>
              <w:rPr>
                <w:sz w:val="22"/>
              </w:rPr>
              <w:t>0</w:t>
            </w:r>
          </w:p>
        </w:tc>
        <w:tc>
          <w:tcPr>
            <w:tcW w:w="861" w:type="dxa"/>
          </w:tcPr>
          <w:p>
            <w:pPr>
              <w:pStyle w:val="TableParagraph"/>
              <w:spacing w:before="1"/>
              <w:ind w:right="100"/>
              <w:jc w:val="right"/>
              <w:rPr>
                <w:sz w:val="22"/>
              </w:rPr>
            </w:pPr>
            <w:r>
              <w:rPr>
                <w:sz w:val="22"/>
              </w:rPr>
              <w:t>0</w:t>
            </w:r>
          </w:p>
        </w:tc>
        <w:tc>
          <w:tcPr>
            <w:tcW w:w="1201" w:type="dxa"/>
          </w:tcPr>
          <w:p>
            <w:pPr>
              <w:pStyle w:val="TableParagraph"/>
              <w:spacing w:before="1"/>
              <w:ind w:right="100"/>
              <w:jc w:val="right"/>
              <w:rPr>
                <w:sz w:val="22"/>
              </w:rPr>
            </w:pPr>
            <w:r>
              <w:rPr>
                <w:sz w:val="22"/>
              </w:rPr>
              <w:t>0</w:t>
            </w:r>
          </w:p>
        </w:tc>
        <w:tc>
          <w:tcPr>
            <w:tcW w:w="1212" w:type="dxa"/>
          </w:tcPr>
          <w:p>
            <w:pPr>
              <w:pStyle w:val="TableParagraph"/>
              <w:spacing w:before="1"/>
              <w:ind w:right="100"/>
              <w:jc w:val="right"/>
              <w:rPr>
                <w:sz w:val="22"/>
              </w:rPr>
            </w:pPr>
            <w:r>
              <w:rPr>
                <w:sz w:val="22"/>
              </w:rPr>
              <w:t>0</w:t>
            </w:r>
          </w:p>
        </w:tc>
      </w:tr>
    </w:tbl>
    <w:p>
      <w:pPr>
        <w:spacing w:before="0"/>
        <w:ind w:left="481" w:right="874" w:firstLine="0"/>
        <w:jc w:val="center"/>
        <w:rPr>
          <w:rFonts w:ascii="Arial" w:hAnsi="Arial"/>
          <w:b/>
          <w:sz w:val="20"/>
        </w:rPr>
      </w:pPr>
      <w:r>
        <w:rPr>
          <w:rFonts w:ascii="Arial" w:hAnsi="Arial"/>
          <w:b/>
          <w:sz w:val="20"/>
        </w:rPr>
        <w:t>Table 24 – Characteristics of Public Housing Residents by Program Type</w:t>
      </w:r>
    </w:p>
    <w:p>
      <w:pPr>
        <w:pStyle w:val="BodyText"/>
        <w:rPr>
          <w:rFonts w:ascii="Arial"/>
          <w:b/>
        </w:rPr>
      </w:pPr>
    </w:p>
    <w:p>
      <w:pPr>
        <w:pStyle w:val="BodyText"/>
        <w:spacing w:before="10"/>
        <w:rPr>
          <w:rFonts w:ascii="Arial"/>
          <w:b/>
          <w:sz w:val="24"/>
        </w:rPr>
      </w:pPr>
    </w:p>
    <w:p>
      <w:pPr>
        <w:tabs>
          <w:tab w:pos="1566" w:val="left" w:leader="none"/>
        </w:tabs>
        <w:spacing w:before="1"/>
        <w:ind w:left="335" w:right="0" w:firstLine="0"/>
        <w:jc w:val="left"/>
        <w:rPr>
          <w:sz w:val="16"/>
        </w:rPr>
      </w:pPr>
      <w:r>
        <w:rPr>
          <w:b/>
          <w:sz w:val="16"/>
        </w:rPr>
        <w:t>Data Source:</w:t>
        <w:tab/>
      </w:r>
      <w:r>
        <w:rPr>
          <w:sz w:val="16"/>
        </w:rPr>
        <w:t>PIC (PIH Information Center)</w:t>
      </w:r>
    </w:p>
    <w:p>
      <w:pPr>
        <w:spacing w:after="0"/>
        <w:jc w:val="left"/>
        <w:rPr>
          <w:sz w:val="16"/>
        </w:rPr>
        <w:sectPr>
          <w:pgSz w:w="12240" w:h="15840"/>
          <w:pgMar w:header="769" w:footer="1321" w:top="1340" w:bottom="1540" w:left="1220" w:right="880"/>
        </w:sectPr>
      </w:pPr>
    </w:p>
    <w:p>
      <w:pPr>
        <w:pStyle w:val="BodyText"/>
        <w:rPr>
          <w:sz w:val="20"/>
        </w:rPr>
      </w:pPr>
    </w:p>
    <w:p>
      <w:pPr>
        <w:pStyle w:val="BodyText"/>
        <w:spacing w:before="3"/>
        <w:rPr>
          <w:sz w:val="18"/>
        </w:rPr>
      </w:pPr>
    </w:p>
    <w:p>
      <w:pPr>
        <w:pStyle w:val="Heading4"/>
        <w:spacing w:before="52"/>
        <w:ind w:left="274"/>
      </w:pPr>
      <w:r>
        <w:rPr/>
        <w:t>Race of Residents</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48"/>
        <w:gridCol w:w="1091"/>
        <w:gridCol w:w="757"/>
        <w:gridCol w:w="903"/>
        <w:gridCol w:w="731"/>
        <w:gridCol w:w="820"/>
        <w:gridCol w:w="813"/>
        <w:gridCol w:w="1139"/>
        <w:gridCol w:w="1146"/>
        <w:gridCol w:w="949"/>
      </w:tblGrid>
      <w:tr>
        <w:trPr>
          <w:trHeight w:val="239" w:hRule="atLeast"/>
        </w:trPr>
        <w:tc>
          <w:tcPr>
            <w:tcW w:w="9797" w:type="dxa"/>
            <w:gridSpan w:val="10"/>
          </w:tcPr>
          <w:p>
            <w:pPr>
              <w:pStyle w:val="TableParagraph"/>
              <w:spacing w:line="218" w:lineRule="exact" w:before="1"/>
              <w:ind w:left="4296" w:right="4286"/>
              <w:jc w:val="center"/>
              <w:rPr>
                <w:b/>
                <w:sz w:val="20"/>
              </w:rPr>
            </w:pPr>
            <w:r>
              <w:rPr>
                <w:b/>
                <w:sz w:val="20"/>
              </w:rPr>
              <w:t>Program Type</w:t>
            </w:r>
          </w:p>
        </w:tc>
      </w:tr>
      <w:tr>
        <w:trPr>
          <w:trHeight w:val="239" w:hRule="atLeast"/>
        </w:trPr>
        <w:tc>
          <w:tcPr>
            <w:tcW w:w="1448" w:type="dxa"/>
            <w:vMerge w:val="restart"/>
          </w:tcPr>
          <w:p>
            <w:pPr>
              <w:pStyle w:val="TableParagraph"/>
              <w:spacing w:before="1"/>
              <w:ind w:left="503" w:right="493"/>
              <w:jc w:val="center"/>
              <w:rPr>
                <w:b/>
                <w:sz w:val="20"/>
              </w:rPr>
            </w:pPr>
            <w:r>
              <w:rPr>
                <w:b/>
                <w:sz w:val="20"/>
              </w:rPr>
              <w:t>Race</w:t>
            </w:r>
          </w:p>
        </w:tc>
        <w:tc>
          <w:tcPr>
            <w:tcW w:w="1091" w:type="dxa"/>
            <w:vMerge w:val="restart"/>
          </w:tcPr>
          <w:p>
            <w:pPr>
              <w:pStyle w:val="TableParagraph"/>
              <w:spacing w:before="1"/>
              <w:ind w:left="112"/>
              <w:rPr>
                <w:b/>
                <w:sz w:val="20"/>
              </w:rPr>
            </w:pPr>
            <w:r>
              <w:rPr>
                <w:b/>
                <w:sz w:val="20"/>
              </w:rPr>
              <w:t>Certificate</w:t>
            </w:r>
          </w:p>
        </w:tc>
        <w:tc>
          <w:tcPr>
            <w:tcW w:w="757" w:type="dxa"/>
            <w:vMerge w:val="restart"/>
          </w:tcPr>
          <w:p>
            <w:pPr>
              <w:pStyle w:val="TableParagraph"/>
              <w:spacing w:before="1"/>
              <w:ind w:left="112" w:right="83" w:firstLine="37"/>
              <w:rPr>
                <w:b/>
                <w:sz w:val="20"/>
              </w:rPr>
            </w:pPr>
            <w:r>
              <w:rPr>
                <w:b/>
                <w:sz w:val="20"/>
              </w:rPr>
              <w:t>Mod- Rehab</w:t>
            </w:r>
          </w:p>
        </w:tc>
        <w:tc>
          <w:tcPr>
            <w:tcW w:w="903" w:type="dxa"/>
            <w:vMerge w:val="restart"/>
          </w:tcPr>
          <w:p>
            <w:pPr>
              <w:pStyle w:val="TableParagraph"/>
              <w:spacing w:before="1"/>
              <w:ind w:left="112" w:right="83" w:firstLine="84"/>
              <w:rPr>
                <w:b/>
                <w:sz w:val="20"/>
              </w:rPr>
            </w:pPr>
            <w:r>
              <w:rPr>
                <w:b/>
                <w:sz w:val="20"/>
              </w:rPr>
              <w:t>Public Housing</w:t>
            </w:r>
          </w:p>
        </w:tc>
        <w:tc>
          <w:tcPr>
            <w:tcW w:w="5598" w:type="dxa"/>
            <w:gridSpan w:val="6"/>
          </w:tcPr>
          <w:p>
            <w:pPr>
              <w:pStyle w:val="TableParagraph"/>
              <w:spacing w:line="218" w:lineRule="exact" w:before="1"/>
              <w:ind w:left="112"/>
              <w:rPr>
                <w:b/>
                <w:sz w:val="20"/>
              </w:rPr>
            </w:pPr>
            <w:r>
              <w:rPr>
                <w:b/>
                <w:sz w:val="20"/>
              </w:rPr>
              <w:t>Vouchers</w:t>
            </w:r>
          </w:p>
        </w:tc>
      </w:tr>
      <w:tr>
        <w:trPr>
          <w:trHeight w:val="239" w:hRule="atLeast"/>
        </w:trPr>
        <w:tc>
          <w:tcPr>
            <w:tcW w:w="1448" w:type="dxa"/>
            <w:vMerge/>
            <w:tcBorders>
              <w:top w:val="nil"/>
            </w:tcBorders>
          </w:tcPr>
          <w:p>
            <w:pPr>
              <w:rPr>
                <w:sz w:val="2"/>
                <w:szCs w:val="2"/>
              </w:rPr>
            </w:pPr>
          </w:p>
        </w:tc>
        <w:tc>
          <w:tcPr>
            <w:tcW w:w="1091" w:type="dxa"/>
            <w:vMerge/>
            <w:tcBorders>
              <w:top w:val="nil"/>
            </w:tcBorders>
          </w:tcPr>
          <w:p>
            <w:pPr>
              <w:rPr>
                <w:sz w:val="2"/>
                <w:szCs w:val="2"/>
              </w:rPr>
            </w:pPr>
          </w:p>
        </w:tc>
        <w:tc>
          <w:tcPr>
            <w:tcW w:w="757" w:type="dxa"/>
            <w:vMerge/>
            <w:tcBorders>
              <w:top w:val="nil"/>
            </w:tcBorders>
          </w:tcPr>
          <w:p>
            <w:pPr>
              <w:rPr>
                <w:sz w:val="2"/>
                <w:szCs w:val="2"/>
              </w:rPr>
            </w:pPr>
          </w:p>
        </w:tc>
        <w:tc>
          <w:tcPr>
            <w:tcW w:w="903" w:type="dxa"/>
            <w:vMerge/>
            <w:tcBorders>
              <w:top w:val="nil"/>
            </w:tcBorders>
          </w:tcPr>
          <w:p>
            <w:pPr>
              <w:rPr>
                <w:sz w:val="2"/>
                <w:szCs w:val="2"/>
              </w:rPr>
            </w:pPr>
          </w:p>
        </w:tc>
        <w:tc>
          <w:tcPr>
            <w:tcW w:w="731" w:type="dxa"/>
            <w:vMerge w:val="restart"/>
          </w:tcPr>
          <w:p>
            <w:pPr>
              <w:pStyle w:val="TableParagraph"/>
              <w:spacing w:before="1"/>
              <w:ind w:left="151"/>
              <w:rPr>
                <w:b/>
                <w:sz w:val="20"/>
              </w:rPr>
            </w:pPr>
            <w:r>
              <w:rPr>
                <w:b/>
                <w:sz w:val="20"/>
              </w:rPr>
              <w:t>Total</w:t>
            </w:r>
          </w:p>
        </w:tc>
        <w:tc>
          <w:tcPr>
            <w:tcW w:w="820" w:type="dxa"/>
            <w:vMerge w:val="restart"/>
          </w:tcPr>
          <w:p>
            <w:pPr>
              <w:pStyle w:val="TableParagraph"/>
              <w:spacing w:before="1"/>
              <w:ind w:left="112"/>
              <w:rPr>
                <w:b/>
                <w:sz w:val="20"/>
              </w:rPr>
            </w:pPr>
            <w:r>
              <w:rPr>
                <w:b/>
                <w:sz w:val="20"/>
              </w:rPr>
              <w:t>Project</w:t>
            </w:r>
          </w:p>
          <w:p>
            <w:pPr>
              <w:pStyle w:val="TableParagraph"/>
              <w:ind w:left="129"/>
              <w:rPr>
                <w:b/>
                <w:sz w:val="20"/>
              </w:rPr>
            </w:pPr>
            <w:r>
              <w:rPr>
                <w:b/>
                <w:sz w:val="20"/>
              </w:rPr>
              <w:t>-based</w:t>
            </w:r>
          </w:p>
        </w:tc>
        <w:tc>
          <w:tcPr>
            <w:tcW w:w="813" w:type="dxa"/>
            <w:vMerge w:val="restart"/>
          </w:tcPr>
          <w:p>
            <w:pPr>
              <w:pStyle w:val="TableParagraph"/>
              <w:spacing w:before="1"/>
              <w:ind w:left="112"/>
              <w:rPr>
                <w:b/>
                <w:sz w:val="20"/>
              </w:rPr>
            </w:pPr>
            <w:r>
              <w:rPr>
                <w:b/>
                <w:sz w:val="20"/>
              </w:rPr>
              <w:t>Tenant</w:t>
            </w:r>
          </w:p>
          <w:p>
            <w:pPr>
              <w:pStyle w:val="TableParagraph"/>
              <w:ind w:left="126"/>
              <w:rPr>
                <w:b/>
                <w:sz w:val="20"/>
              </w:rPr>
            </w:pPr>
            <w:r>
              <w:rPr>
                <w:b/>
                <w:sz w:val="20"/>
              </w:rPr>
              <w:t>-based</w:t>
            </w:r>
          </w:p>
        </w:tc>
        <w:tc>
          <w:tcPr>
            <w:tcW w:w="3234" w:type="dxa"/>
            <w:gridSpan w:val="3"/>
          </w:tcPr>
          <w:p>
            <w:pPr>
              <w:pStyle w:val="TableParagraph"/>
              <w:spacing w:line="218" w:lineRule="exact" w:before="1"/>
              <w:ind w:left="589"/>
              <w:rPr>
                <w:b/>
                <w:sz w:val="20"/>
              </w:rPr>
            </w:pPr>
            <w:r>
              <w:rPr>
                <w:b/>
                <w:sz w:val="20"/>
              </w:rPr>
              <w:t>Special Purpose Voucher</w:t>
            </w:r>
          </w:p>
        </w:tc>
      </w:tr>
      <w:tr>
        <w:trPr>
          <w:trHeight w:val="971" w:hRule="atLeast"/>
        </w:trPr>
        <w:tc>
          <w:tcPr>
            <w:tcW w:w="1448" w:type="dxa"/>
            <w:vMerge/>
            <w:tcBorders>
              <w:top w:val="nil"/>
            </w:tcBorders>
          </w:tcPr>
          <w:p>
            <w:pPr>
              <w:rPr>
                <w:sz w:val="2"/>
                <w:szCs w:val="2"/>
              </w:rPr>
            </w:pPr>
          </w:p>
        </w:tc>
        <w:tc>
          <w:tcPr>
            <w:tcW w:w="1091" w:type="dxa"/>
            <w:vMerge/>
            <w:tcBorders>
              <w:top w:val="nil"/>
            </w:tcBorders>
          </w:tcPr>
          <w:p>
            <w:pPr>
              <w:rPr>
                <w:sz w:val="2"/>
                <w:szCs w:val="2"/>
              </w:rPr>
            </w:pPr>
          </w:p>
        </w:tc>
        <w:tc>
          <w:tcPr>
            <w:tcW w:w="757" w:type="dxa"/>
            <w:vMerge/>
            <w:tcBorders>
              <w:top w:val="nil"/>
            </w:tcBorders>
          </w:tcPr>
          <w:p>
            <w:pPr>
              <w:rPr>
                <w:sz w:val="2"/>
                <w:szCs w:val="2"/>
              </w:rPr>
            </w:pPr>
          </w:p>
        </w:tc>
        <w:tc>
          <w:tcPr>
            <w:tcW w:w="903" w:type="dxa"/>
            <w:vMerge/>
            <w:tcBorders>
              <w:top w:val="nil"/>
            </w:tcBorders>
          </w:tcPr>
          <w:p>
            <w:pPr>
              <w:rPr>
                <w:sz w:val="2"/>
                <w:szCs w:val="2"/>
              </w:rPr>
            </w:pPr>
          </w:p>
        </w:tc>
        <w:tc>
          <w:tcPr>
            <w:tcW w:w="731" w:type="dxa"/>
            <w:vMerge/>
            <w:tcBorders>
              <w:top w:val="nil"/>
            </w:tcBorders>
          </w:tcPr>
          <w:p>
            <w:pPr>
              <w:rPr>
                <w:sz w:val="2"/>
                <w:szCs w:val="2"/>
              </w:rPr>
            </w:pPr>
          </w:p>
        </w:tc>
        <w:tc>
          <w:tcPr>
            <w:tcW w:w="820" w:type="dxa"/>
            <w:vMerge/>
            <w:tcBorders>
              <w:top w:val="nil"/>
            </w:tcBorders>
          </w:tcPr>
          <w:p>
            <w:pPr>
              <w:rPr>
                <w:sz w:val="2"/>
                <w:szCs w:val="2"/>
              </w:rPr>
            </w:pPr>
          </w:p>
        </w:tc>
        <w:tc>
          <w:tcPr>
            <w:tcW w:w="813" w:type="dxa"/>
            <w:vMerge/>
            <w:tcBorders>
              <w:top w:val="nil"/>
            </w:tcBorders>
          </w:tcPr>
          <w:p>
            <w:pPr>
              <w:rPr>
                <w:sz w:val="2"/>
                <w:szCs w:val="2"/>
              </w:rPr>
            </w:pPr>
          </w:p>
        </w:tc>
        <w:tc>
          <w:tcPr>
            <w:tcW w:w="1139" w:type="dxa"/>
          </w:tcPr>
          <w:p>
            <w:pPr>
              <w:pStyle w:val="TableParagraph"/>
              <w:spacing w:line="240" w:lineRule="atLeast" w:before="1"/>
              <w:ind w:left="112" w:right="100"/>
              <w:jc w:val="center"/>
              <w:rPr>
                <w:b/>
                <w:sz w:val="20"/>
              </w:rPr>
            </w:pPr>
            <w:r>
              <w:rPr>
                <w:b/>
                <w:sz w:val="20"/>
              </w:rPr>
              <w:t>Veterans Affairs Supportive Housing</w:t>
            </w:r>
          </w:p>
        </w:tc>
        <w:tc>
          <w:tcPr>
            <w:tcW w:w="1146" w:type="dxa"/>
          </w:tcPr>
          <w:p>
            <w:pPr>
              <w:pStyle w:val="TableParagraph"/>
              <w:spacing w:before="1"/>
              <w:ind w:left="112" w:right="100"/>
              <w:jc w:val="center"/>
              <w:rPr>
                <w:b/>
                <w:sz w:val="20"/>
              </w:rPr>
            </w:pPr>
            <w:r>
              <w:rPr>
                <w:b/>
                <w:sz w:val="20"/>
              </w:rPr>
              <w:t>Family Unification Program</w:t>
            </w:r>
          </w:p>
        </w:tc>
        <w:tc>
          <w:tcPr>
            <w:tcW w:w="949" w:type="dxa"/>
          </w:tcPr>
          <w:p>
            <w:pPr>
              <w:pStyle w:val="TableParagraph"/>
              <w:spacing w:before="1"/>
              <w:ind w:left="92" w:right="82"/>
              <w:jc w:val="center"/>
              <w:rPr>
                <w:b/>
                <w:sz w:val="20"/>
              </w:rPr>
            </w:pPr>
            <w:r>
              <w:rPr>
                <w:b/>
                <w:sz w:val="20"/>
              </w:rPr>
              <w:t>Disabled</w:t>
            </w:r>
          </w:p>
          <w:p>
            <w:pPr>
              <w:pStyle w:val="TableParagraph"/>
              <w:ind w:left="10"/>
              <w:jc w:val="center"/>
              <w:rPr>
                <w:b/>
                <w:sz w:val="20"/>
              </w:rPr>
            </w:pPr>
            <w:r>
              <w:rPr>
                <w:b/>
                <w:sz w:val="20"/>
              </w:rPr>
              <w:t>*</w:t>
            </w:r>
          </w:p>
        </w:tc>
      </w:tr>
      <w:tr>
        <w:trPr>
          <w:trHeight w:val="497" w:hRule="atLeast"/>
        </w:trPr>
        <w:tc>
          <w:tcPr>
            <w:tcW w:w="1448" w:type="dxa"/>
          </w:tcPr>
          <w:p>
            <w:pPr>
              <w:pStyle w:val="TableParagraph"/>
              <w:spacing w:line="264" w:lineRule="exact"/>
              <w:ind w:left="112"/>
              <w:rPr>
                <w:sz w:val="22"/>
              </w:rPr>
            </w:pPr>
            <w:r>
              <w:rPr>
                <w:sz w:val="22"/>
              </w:rPr>
              <w:t>White</w:t>
            </w:r>
          </w:p>
        </w:tc>
        <w:tc>
          <w:tcPr>
            <w:tcW w:w="1091" w:type="dxa"/>
          </w:tcPr>
          <w:p>
            <w:pPr>
              <w:pStyle w:val="TableParagraph"/>
              <w:spacing w:line="264" w:lineRule="exact"/>
              <w:ind w:right="100"/>
              <w:jc w:val="right"/>
              <w:rPr>
                <w:sz w:val="22"/>
              </w:rPr>
            </w:pPr>
            <w:r>
              <w:rPr>
                <w:sz w:val="22"/>
              </w:rPr>
              <w:t>0</w:t>
            </w:r>
          </w:p>
        </w:tc>
        <w:tc>
          <w:tcPr>
            <w:tcW w:w="757" w:type="dxa"/>
          </w:tcPr>
          <w:p>
            <w:pPr>
              <w:pStyle w:val="TableParagraph"/>
              <w:spacing w:line="264" w:lineRule="exact"/>
              <w:ind w:right="100"/>
              <w:jc w:val="right"/>
              <w:rPr>
                <w:sz w:val="22"/>
              </w:rPr>
            </w:pPr>
            <w:r>
              <w:rPr>
                <w:sz w:val="22"/>
              </w:rPr>
              <w:t>7</w:t>
            </w:r>
          </w:p>
        </w:tc>
        <w:tc>
          <w:tcPr>
            <w:tcW w:w="903" w:type="dxa"/>
          </w:tcPr>
          <w:p>
            <w:pPr>
              <w:pStyle w:val="TableParagraph"/>
              <w:spacing w:line="264" w:lineRule="exact"/>
              <w:ind w:right="100"/>
              <w:jc w:val="right"/>
              <w:rPr>
                <w:sz w:val="22"/>
              </w:rPr>
            </w:pPr>
            <w:r>
              <w:rPr>
                <w:sz w:val="22"/>
              </w:rPr>
              <w:t>260</w:t>
            </w:r>
          </w:p>
        </w:tc>
        <w:tc>
          <w:tcPr>
            <w:tcW w:w="731" w:type="dxa"/>
          </w:tcPr>
          <w:p>
            <w:pPr>
              <w:pStyle w:val="TableParagraph"/>
              <w:spacing w:line="264" w:lineRule="exact"/>
              <w:ind w:right="100"/>
              <w:jc w:val="right"/>
              <w:rPr>
                <w:sz w:val="22"/>
              </w:rPr>
            </w:pPr>
            <w:r>
              <w:rPr>
                <w:sz w:val="22"/>
              </w:rPr>
              <w:t>1,077</w:t>
            </w:r>
          </w:p>
        </w:tc>
        <w:tc>
          <w:tcPr>
            <w:tcW w:w="820" w:type="dxa"/>
          </w:tcPr>
          <w:p>
            <w:pPr>
              <w:pStyle w:val="TableParagraph"/>
              <w:spacing w:line="264" w:lineRule="exact"/>
              <w:ind w:right="100"/>
              <w:jc w:val="right"/>
              <w:rPr>
                <w:sz w:val="22"/>
              </w:rPr>
            </w:pPr>
            <w:r>
              <w:rPr>
                <w:sz w:val="22"/>
              </w:rPr>
              <w:t>19</w:t>
            </w:r>
          </w:p>
        </w:tc>
        <w:tc>
          <w:tcPr>
            <w:tcW w:w="813" w:type="dxa"/>
          </w:tcPr>
          <w:p>
            <w:pPr>
              <w:pStyle w:val="TableParagraph"/>
              <w:spacing w:line="264" w:lineRule="exact"/>
              <w:ind w:right="100"/>
              <w:jc w:val="right"/>
              <w:rPr>
                <w:sz w:val="22"/>
              </w:rPr>
            </w:pPr>
            <w:r>
              <w:rPr>
                <w:sz w:val="22"/>
              </w:rPr>
              <w:t>1,020</w:t>
            </w:r>
          </w:p>
        </w:tc>
        <w:tc>
          <w:tcPr>
            <w:tcW w:w="1139" w:type="dxa"/>
          </w:tcPr>
          <w:p>
            <w:pPr>
              <w:pStyle w:val="TableParagraph"/>
              <w:spacing w:line="264" w:lineRule="exact"/>
              <w:ind w:right="100"/>
              <w:jc w:val="right"/>
              <w:rPr>
                <w:sz w:val="22"/>
              </w:rPr>
            </w:pPr>
            <w:r>
              <w:rPr>
                <w:sz w:val="22"/>
              </w:rPr>
              <w:t>31</w:t>
            </w:r>
          </w:p>
        </w:tc>
        <w:tc>
          <w:tcPr>
            <w:tcW w:w="1146" w:type="dxa"/>
          </w:tcPr>
          <w:p>
            <w:pPr>
              <w:pStyle w:val="TableParagraph"/>
              <w:spacing w:line="264" w:lineRule="exact"/>
              <w:ind w:right="100"/>
              <w:jc w:val="right"/>
              <w:rPr>
                <w:sz w:val="22"/>
              </w:rPr>
            </w:pPr>
            <w:r>
              <w:rPr>
                <w:sz w:val="22"/>
              </w:rPr>
              <w:t>0</w:t>
            </w:r>
          </w:p>
        </w:tc>
        <w:tc>
          <w:tcPr>
            <w:tcW w:w="949" w:type="dxa"/>
          </w:tcPr>
          <w:p>
            <w:pPr>
              <w:pStyle w:val="TableParagraph"/>
              <w:spacing w:line="264" w:lineRule="exact"/>
              <w:ind w:right="100"/>
              <w:jc w:val="right"/>
              <w:rPr>
                <w:sz w:val="22"/>
              </w:rPr>
            </w:pPr>
            <w:r>
              <w:rPr>
                <w:sz w:val="22"/>
              </w:rPr>
              <w:t>0</w:t>
            </w:r>
          </w:p>
        </w:tc>
      </w:tr>
      <w:tr>
        <w:trPr>
          <w:trHeight w:val="812" w:hRule="atLeast"/>
        </w:trPr>
        <w:tc>
          <w:tcPr>
            <w:tcW w:w="1448" w:type="dxa"/>
          </w:tcPr>
          <w:p>
            <w:pPr>
              <w:pStyle w:val="TableParagraph"/>
              <w:spacing w:line="276" w:lineRule="auto" w:before="1"/>
              <w:ind w:left="112" w:right="111"/>
              <w:rPr>
                <w:sz w:val="22"/>
              </w:rPr>
            </w:pPr>
            <w:r>
              <w:rPr>
                <w:sz w:val="22"/>
              </w:rPr>
              <w:t>Black/African American</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57" w:type="dxa"/>
          </w:tcPr>
          <w:p>
            <w:pPr>
              <w:pStyle w:val="TableParagraph"/>
              <w:spacing w:before="5"/>
              <w:rPr>
                <w:b/>
                <w:sz w:val="25"/>
              </w:rPr>
            </w:pPr>
          </w:p>
          <w:p>
            <w:pPr>
              <w:pStyle w:val="TableParagraph"/>
              <w:ind w:right="100"/>
              <w:jc w:val="right"/>
              <w:rPr>
                <w:sz w:val="22"/>
              </w:rPr>
            </w:pPr>
            <w:r>
              <w:rPr>
                <w:sz w:val="22"/>
              </w:rPr>
              <w:t>4</w:t>
            </w:r>
          </w:p>
        </w:tc>
        <w:tc>
          <w:tcPr>
            <w:tcW w:w="903" w:type="dxa"/>
          </w:tcPr>
          <w:p>
            <w:pPr>
              <w:pStyle w:val="TableParagraph"/>
              <w:spacing w:before="5"/>
              <w:rPr>
                <w:b/>
                <w:sz w:val="25"/>
              </w:rPr>
            </w:pPr>
          </w:p>
          <w:p>
            <w:pPr>
              <w:pStyle w:val="TableParagraph"/>
              <w:ind w:right="100"/>
              <w:jc w:val="right"/>
              <w:rPr>
                <w:sz w:val="22"/>
              </w:rPr>
            </w:pPr>
            <w:r>
              <w:rPr>
                <w:sz w:val="22"/>
              </w:rPr>
              <w:t>32</w:t>
            </w:r>
          </w:p>
        </w:tc>
        <w:tc>
          <w:tcPr>
            <w:tcW w:w="731" w:type="dxa"/>
          </w:tcPr>
          <w:p>
            <w:pPr>
              <w:pStyle w:val="TableParagraph"/>
              <w:spacing w:before="5"/>
              <w:rPr>
                <w:b/>
                <w:sz w:val="25"/>
              </w:rPr>
            </w:pPr>
          </w:p>
          <w:p>
            <w:pPr>
              <w:pStyle w:val="TableParagraph"/>
              <w:ind w:right="100"/>
              <w:jc w:val="right"/>
              <w:rPr>
                <w:sz w:val="22"/>
              </w:rPr>
            </w:pPr>
            <w:r>
              <w:rPr>
                <w:sz w:val="22"/>
              </w:rPr>
              <w:t>162</w:t>
            </w:r>
          </w:p>
        </w:tc>
        <w:tc>
          <w:tcPr>
            <w:tcW w:w="820" w:type="dxa"/>
          </w:tcPr>
          <w:p>
            <w:pPr>
              <w:pStyle w:val="TableParagraph"/>
              <w:spacing w:before="5"/>
              <w:rPr>
                <w:b/>
                <w:sz w:val="25"/>
              </w:rPr>
            </w:pPr>
          </w:p>
          <w:p>
            <w:pPr>
              <w:pStyle w:val="TableParagraph"/>
              <w:ind w:right="100"/>
              <w:jc w:val="right"/>
              <w:rPr>
                <w:sz w:val="22"/>
              </w:rPr>
            </w:pPr>
            <w:r>
              <w:rPr>
                <w:sz w:val="22"/>
              </w:rPr>
              <w:t>3</w:t>
            </w:r>
          </w:p>
        </w:tc>
        <w:tc>
          <w:tcPr>
            <w:tcW w:w="813" w:type="dxa"/>
          </w:tcPr>
          <w:p>
            <w:pPr>
              <w:pStyle w:val="TableParagraph"/>
              <w:spacing w:before="5"/>
              <w:rPr>
                <w:b/>
                <w:sz w:val="25"/>
              </w:rPr>
            </w:pPr>
          </w:p>
          <w:p>
            <w:pPr>
              <w:pStyle w:val="TableParagraph"/>
              <w:ind w:right="100"/>
              <w:jc w:val="right"/>
              <w:rPr>
                <w:sz w:val="22"/>
              </w:rPr>
            </w:pPr>
            <w:r>
              <w:rPr>
                <w:sz w:val="22"/>
              </w:rPr>
              <w:t>152</w:t>
            </w:r>
          </w:p>
        </w:tc>
        <w:tc>
          <w:tcPr>
            <w:tcW w:w="1139" w:type="dxa"/>
          </w:tcPr>
          <w:p>
            <w:pPr>
              <w:pStyle w:val="TableParagraph"/>
              <w:spacing w:before="5"/>
              <w:rPr>
                <w:b/>
                <w:sz w:val="25"/>
              </w:rPr>
            </w:pPr>
          </w:p>
          <w:p>
            <w:pPr>
              <w:pStyle w:val="TableParagraph"/>
              <w:ind w:right="100"/>
              <w:jc w:val="right"/>
              <w:rPr>
                <w:sz w:val="22"/>
              </w:rPr>
            </w:pPr>
            <w:r>
              <w:rPr>
                <w:sz w:val="22"/>
              </w:rPr>
              <w:t>4</w:t>
            </w:r>
          </w:p>
        </w:tc>
        <w:tc>
          <w:tcPr>
            <w:tcW w:w="1146" w:type="dxa"/>
          </w:tcPr>
          <w:p>
            <w:pPr>
              <w:pStyle w:val="TableParagraph"/>
              <w:spacing w:before="5"/>
              <w:rPr>
                <w:b/>
                <w:sz w:val="25"/>
              </w:rPr>
            </w:pPr>
          </w:p>
          <w:p>
            <w:pPr>
              <w:pStyle w:val="TableParagraph"/>
              <w:ind w:right="100"/>
              <w:jc w:val="right"/>
              <w:rPr>
                <w:sz w:val="22"/>
              </w:rPr>
            </w:pPr>
            <w:r>
              <w:rPr>
                <w:sz w:val="22"/>
              </w:rPr>
              <w:t>0</w:t>
            </w:r>
          </w:p>
        </w:tc>
        <w:tc>
          <w:tcPr>
            <w:tcW w:w="949" w:type="dxa"/>
          </w:tcPr>
          <w:p>
            <w:pPr>
              <w:pStyle w:val="TableParagraph"/>
              <w:spacing w:before="5"/>
              <w:rPr>
                <w:b/>
                <w:sz w:val="25"/>
              </w:rPr>
            </w:pPr>
          </w:p>
          <w:p>
            <w:pPr>
              <w:pStyle w:val="TableParagraph"/>
              <w:ind w:right="100"/>
              <w:jc w:val="right"/>
              <w:rPr>
                <w:sz w:val="22"/>
              </w:rPr>
            </w:pPr>
            <w:r>
              <w:rPr>
                <w:sz w:val="22"/>
              </w:rPr>
              <w:t>0</w:t>
            </w:r>
          </w:p>
        </w:tc>
      </w:tr>
      <w:tr>
        <w:trPr>
          <w:trHeight w:val="503" w:hRule="atLeast"/>
        </w:trPr>
        <w:tc>
          <w:tcPr>
            <w:tcW w:w="1448" w:type="dxa"/>
          </w:tcPr>
          <w:p>
            <w:pPr>
              <w:pStyle w:val="TableParagraph"/>
              <w:spacing w:before="1"/>
              <w:ind w:left="112"/>
              <w:rPr>
                <w:sz w:val="22"/>
              </w:rPr>
            </w:pPr>
            <w:r>
              <w:rPr>
                <w:sz w:val="22"/>
              </w:rPr>
              <w:t>Asian</w:t>
            </w:r>
          </w:p>
        </w:tc>
        <w:tc>
          <w:tcPr>
            <w:tcW w:w="1091" w:type="dxa"/>
          </w:tcPr>
          <w:p>
            <w:pPr>
              <w:pStyle w:val="TableParagraph"/>
              <w:spacing w:before="1"/>
              <w:ind w:right="100"/>
              <w:jc w:val="right"/>
              <w:rPr>
                <w:sz w:val="22"/>
              </w:rPr>
            </w:pPr>
            <w:r>
              <w:rPr>
                <w:sz w:val="22"/>
              </w:rPr>
              <w:t>0</w:t>
            </w:r>
          </w:p>
        </w:tc>
        <w:tc>
          <w:tcPr>
            <w:tcW w:w="757" w:type="dxa"/>
          </w:tcPr>
          <w:p>
            <w:pPr>
              <w:pStyle w:val="TableParagraph"/>
              <w:spacing w:before="1"/>
              <w:ind w:right="100"/>
              <w:jc w:val="right"/>
              <w:rPr>
                <w:sz w:val="22"/>
              </w:rPr>
            </w:pPr>
            <w:r>
              <w:rPr>
                <w:sz w:val="22"/>
              </w:rPr>
              <w:t>0</w:t>
            </w:r>
          </w:p>
        </w:tc>
        <w:tc>
          <w:tcPr>
            <w:tcW w:w="903" w:type="dxa"/>
          </w:tcPr>
          <w:p>
            <w:pPr>
              <w:pStyle w:val="TableParagraph"/>
              <w:spacing w:before="1"/>
              <w:ind w:right="100"/>
              <w:jc w:val="right"/>
              <w:rPr>
                <w:sz w:val="22"/>
              </w:rPr>
            </w:pPr>
            <w:r>
              <w:rPr>
                <w:sz w:val="22"/>
              </w:rPr>
              <w:t>3</w:t>
            </w:r>
          </w:p>
        </w:tc>
        <w:tc>
          <w:tcPr>
            <w:tcW w:w="731" w:type="dxa"/>
          </w:tcPr>
          <w:p>
            <w:pPr>
              <w:pStyle w:val="TableParagraph"/>
              <w:spacing w:before="1"/>
              <w:ind w:right="100"/>
              <w:jc w:val="right"/>
              <w:rPr>
                <w:sz w:val="22"/>
              </w:rPr>
            </w:pPr>
            <w:r>
              <w:rPr>
                <w:sz w:val="22"/>
              </w:rPr>
              <w:t>4</w:t>
            </w:r>
          </w:p>
        </w:tc>
        <w:tc>
          <w:tcPr>
            <w:tcW w:w="820" w:type="dxa"/>
          </w:tcPr>
          <w:p>
            <w:pPr>
              <w:pStyle w:val="TableParagraph"/>
              <w:spacing w:before="1"/>
              <w:ind w:right="100"/>
              <w:jc w:val="right"/>
              <w:rPr>
                <w:sz w:val="22"/>
              </w:rPr>
            </w:pPr>
            <w:r>
              <w:rPr>
                <w:sz w:val="22"/>
              </w:rPr>
              <w:t>0</w:t>
            </w:r>
          </w:p>
        </w:tc>
        <w:tc>
          <w:tcPr>
            <w:tcW w:w="813" w:type="dxa"/>
          </w:tcPr>
          <w:p>
            <w:pPr>
              <w:pStyle w:val="TableParagraph"/>
              <w:spacing w:before="1"/>
              <w:ind w:right="100"/>
              <w:jc w:val="right"/>
              <w:rPr>
                <w:sz w:val="22"/>
              </w:rPr>
            </w:pPr>
            <w:r>
              <w:rPr>
                <w:sz w:val="22"/>
              </w:rPr>
              <w:t>3</w:t>
            </w:r>
          </w:p>
        </w:tc>
        <w:tc>
          <w:tcPr>
            <w:tcW w:w="1139" w:type="dxa"/>
          </w:tcPr>
          <w:p>
            <w:pPr>
              <w:pStyle w:val="TableParagraph"/>
              <w:spacing w:before="1"/>
              <w:ind w:right="100"/>
              <w:jc w:val="right"/>
              <w:rPr>
                <w:sz w:val="22"/>
              </w:rPr>
            </w:pPr>
            <w:r>
              <w:rPr>
                <w:sz w:val="22"/>
              </w:rPr>
              <w:t>0</w:t>
            </w:r>
          </w:p>
        </w:tc>
        <w:tc>
          <w:tcPr>
            <w:tcW w:w="1146" w:type="dxa"/>
          </w:tcPr>
          <w:p>
            <w:pPr>
              <w:pStyle w:val="TableParagraph"/>
              <w:spacing w:before="1"/>
              <w:ind w:right="100"/>
              <w:jc w:val="right"/>
              <w:rPr>
                <w:sz w:val="22"/>
              </w:rPr>
            </w:pPr>
            <w:r>
              <w:rPr>
                <w:sz w:val="22"/>
              </w:rPr>
              <w:t>0</w:t>
            </w:r>
          </w:p>
        </w:tc>
        <w:tc>
          <w:tcPr>
            <w:tcW w:w="949" w:type="dxa"/>
          </w:tcPr>
          <w:p>
            <w:pPr>
              <w:pStyle w:val="TableParagraph"/>
              <w:spacing w:before="1"/>
              <w:ind w:right="100"/>
              <w:jc w:val="right"/>
              <w:rPr>
                <w:sz w:val="22"/>
              </w:rPr>
            </w:pPr>
            <w:r>
              <w:rPr>
                <w:sz w:val="22"/>
              </w:rPr>
              <w:t>0</w:t>
            </w:r>
          </w:p>
        </w:tc>
      </w:tr>
      <w:tr>
        <w:trPr>
          <w:trHeight w:val="1121" w:hRule="atLeast"/>
        </w:trPr>
        <w:tc>
          <w:tcPr>
            <w:tcW w:w="1448" w:type="dxa"/>
          </w:tcPr>
          <w:p>
            <w:pPr>
              <w:pStyle w:val="TableParagraph"/>
              <w:spacing w:line="276" w:lineRule="auto" w:before="1"/>
              <w:ind w:left="112" w:right="83"/>
              <w:rPr>
                <w:sz w:val="22"/>
              </w:rPr>
            </w:pPr>
            <w:r>
              <w:rPr>
                <w:sz w:val="22"/>
              </w:rPr>
              <w:t>American Indian/Alaska Native</w:t>
            </w:r>
          </w:p>
        </w:tc>
        <w:tc>
          <w:tcPr>
            <w:tcW w:w="1091"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757"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903"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1</w:t>
            </w:r>
          </w:p>
        </w:tc>
        <w:tc>
          <w:tcPr>
            <w:tcW w:w="731"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5</w:t>
            </w:r>
          </w:p>
        </w:tc>
        <w:tc>
          <w:tcPr>
            <w:tcW w:w="820"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813"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5</w:t>
            </w:r>
          </w:p>
        </w:tc>
        <w:tc>
          <w:tcPr>
            <w:tcW w:w="1139"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1146"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c>
          <w:tcPr>
            <w:tcW w:w="949" w:type="dxa"/>
          </w:tcPr>
          <w:p>
            <w:pPr>
              <w:pStyle w:val="TableParagraph"/>
              <w:rPr>
                <w:b/>
                <w:sz w:val="22"/>
              </w:rPr>
            </w:pPr>
          </w:p>
          <w:p>
            <w:pPr>
              <w:pStyle w:val="TableParagraph"/>
              <w:spacing w:before="8"/>
              <w:rPr>
                <w:b/>
                <w:sz w:val="28"/>
              </w:rPr>
            </w:pPr>
          </w:p>
          <w:p>
            <w:pPr>
              <w:pStyle w:val="TableParagraph"/>
              <w:spacing w:before="1"/>
              <w:ind w:right="100"/>
              <w:jc w:val="right"/>
              <w:rPr>
                <w:sz w:val="22"/>
              </w:rPr>
            </w:pPr>
            <w:r>
              <w:rPr>
                <w:sz w:val="22"/>
              </w:rPr>
              <w:t>0</w:t>
            </w:r>
          </w:p>
        </w:tc>
      </w:tr>
      <w:tr>
        <w:trPr>
          <w:trHeight w:val="812" w:hRule="atLeast"/>
        </w:trPr>
        <w:tc>
          <w:tcPr>
            <w:tcW w:w="1448" w:type="dxa"/>
          </w:tcPr>
          <w:p>
            <w:pPr>
              <w:pStyle w:val="TableParagraph"/>
              <w:spacing w:line="276" w:lineRule="auto" w:before="1"/>
              <w:ind w:left="112" w:right="586"/>
              <w:rPr>
                <w:sz w:val="22"/>
              </w:rPr>
            </w:pPr>
            <w:r>
              <w:rPr>
                <w:sz w:val="22"/>
              </w:rPr>
              <w:t>Pacific Islander</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57" w:type="dxa"/>
          </w:tcPr>
          <w:p>
            <w:pPr>
              <w:pStyle w:val="TableParagraph"/>
              <w:spacing w:before="5"/>
              <w:rPr>
                <w:b/>
                <w:sz w:val="25"/>
              </w:rPr>
            </w:pPr>
          </w:p>
          <w:p>
            <w:pPr>
              <w:pStyle w:val="TableParagraph"/>
              <w:ind w:right="100"/>
              <w:jc w:val="right"/>
              <w:rPr>
                <w:sz w:val="22"/>
              </w:rPr>
            </w:pPr>
            <w:r>
              <w:rPr>
                <w:sz w:val="22"/>
              </w:rPr>
              <w:t>0</w:t>
            </w:r>
          </w:p>
        </w:tc>
        <w:tc>
          <w:tcPr>
            <w:tcW w:w="903" w:type="dxa"/>
          </w:tcPr>
          <w:p>
            <w:pPr>
              <w:pStyle w:val="TableParagraph"/>
              <w:spacing w:before="5"/>
              <w:rPr>
                <w:b/>
                <w:sz w:val="25"/>
              </w:rPr>
            </w:pPr>
          </w:p>
          <w:p>
            <w:pPr>
              <w:pStyle w:val="TableParagraph"/>
              <w:ind w:right="100"/>
              <w:jc w:val="right"/>
              <w:rPr>
                <w:sz w:val="22"/>
              </w:rPr>
            </w:pPr>
            <w:r>
              <w:rPr>
                <w:sz w:val="22"/>
              </w:rPr>
              <w:t>0</w:t>
            </w:r>
          </w:p>
        </w:tc>
        <w:tc>
          <w:tcPr>
            <w:tcW w:w="731" w:type="dxa"/>
          </w:tcPr>
          <w:p>
            <w:pPr>
              <w:pStyle w:val="TableParagraph"/>
              <w:spacing w:before="5"/>
              <w:rPr>
                <w:b/>
                <w:sz w:val="25"/>
              </w:rPr>
            </w:pPr>
          </w:p>
          <w:p>
            <w:pPr>
              <w:pStyle w:val="TableParagraph"/>
              <w:ind w:right="100"/>
              <w:jc w:val="right"/>
              <w:rPr>
                <w:sz w:val="22"/>
              </w:rPr>
            </w:pPr>
            <w:r>
              <w:rPr>
                <w:sz w:val="22"/>
              </w:rPr>
              <w:t>1</w:t>
            </w:r>
          </w:p>
        </w:tc>
        <w:tc>
          <w:tcPr>
            <w:tcW w:w="820" w:type="dxa"/>
          </w:tcPr>
          <w:p>
            <w:pPr>
              <w:pStyle w:val="TableParagraph"/>
              <w:spacing w:before="5"/>
              <w:rPr>
                <w:b/>
                <w:sz w:val="25"/>
              </w:rPr>
            </w:pPr>
          </w:p>
          <w:p>
            <w:pPr>
              <w:pStyle w:val="TableParagraph"/>
              <w:ind w:right="100"/>
              <w:jc w:val="right"/>
              <w:rPr>
                <w:sz w:val="22"/>
              </w:rPr>
            </w:pPr>
            <w:r>
              <w:rPr>
                <w:sz w:val="22"/>
              </w:rPr>
              <w:t>0</w:t>
            </w:r>
          </w:p>
        </w:tc>
        <w:tc>
          <w:tcPr>
            <w:tcW w:w="813" w:type="dxa"/>
          </w:tcPr>
          <w:p>
            <w:pPr>
              <w:pStyle w:val="TableParagraph"/>
              <w:spacing w:before="5"/>
              <w:rPr>
                <w:b/>
                <w:sz w:val="25"/>
              </w:rPr>
            </w:pPr>
          </w:p>
          <w:p>
            <w:pPr>
              <w:pStyle w:val="TableParagraph"/>
              <w:ind w:right="100"/>
              <w:jc w:val="right"/>
              <w:rPr>
                <w:sz w:val="22"/>
              </w:rPr>
            </w:pPr>
            <w:r>
              <w:rPr>
                <w:sz w:val="22"/>
              </w:rPr>
              <w:t>1</w:t>
            </w:r>
          </w:p>
        </w:tc>
        <w:tc>
          <w:tcPr>
            <w:tcW w:w="1139" w:type="dxa"/>
          </w:tcPr>
          <w:p>
            <w:pPr>
              <w:pStyle w:val="TableParagraph"/>
              <w:spacing w:before="5"/>
              <w:rPr>
                <w:b/>
                <w:sz w:val="25"/>
              </w:rPr>
            </w:pPr>
          </w:p>
          <w:p>
            <w:pPr>
              <w:pStyle w:val="TableParagraph"/>
              <w:ind w:right="100"/>
              <w:jc w:val="right"/>
              <w:rPr>
                <w:sz w:val="22"/>
              </w:rPr>
            </w:pPr>
            <w:r>
              <w:rPr>
                <w:sz w:val="22"/>
              </w:rPr>
              <w:t>0</w:t>
            </w:r>
          </w:p>
        </w:tc>
        <w:tc>
          <w:tcPr>
            <w:tcW w:w="1146" w:type="dxa"/>
          </w:tcPr>
          <w:p>
            <w:pPr>
              <w:pStyle w:val="TableParagraph"/>
              <w:spacing w:before="5"/>
              <w:rPr>
                <w:b/>
                <w:sz w:val="25"/>
              </w:rPr>
            </w:pPr>
          </w:p>
          <w:p>
            <w:pPr>
              <w:pStyle w:val="TableParagraph"/>
              <w:ind w:right="100"/>
              <w:jc w:val="right"/>
              <w:rPr>
                <w:sz w:val="22"/>
              </w:rPr>
            </w:pPr>
            <w:r>
              <w:rPr>
                <w:sz w:val="22"/>
              </w:rPr>
              <w:t>0</w:t>
            </w:r>
          </w:p>
        </w:tc>
        <w:tc>
          <w:tcPr>
            <w:tcW w:w="949" w:type="dxa"/>
          </w:tcPr>
          <w:p>
            <w:pPr>
              <w:pStyle w:val="TableParagraph"/>
              <w:spacing w:before="5"/>
              <w:rPr>
                <w:b/>
                <w:sz w:val="25"/>
              </w:rPr>
            </w:pPr>
          </w:p>
          <w:p>
            <w:pPr>
              <w:pStyle w:val="TableParagraph"/>
              <w:ind w:right="100"/>
              <w:jc w:val="right"/>
              <w:rPr>
                <w:sz w:val="22"/>
              </w:rPr>
            </w:pPr>
            <w:r>
              <w:rPr>
                <w:sz w:val="22"/>
              </w:rPr>
              <w:t>0</w:t>
            </w:r>
          </w:p>
        </w:tc>
      </w:tr>
      <w:tr>
        <w:trPr>
          <w:trHeight w:val="503" w:hRule="atLeast"/>
        </w:trPr>
        <w:tc>
          <w:tcPr>
            <w:tcW w:w="1448" w:type="dxa"/>
          </w:tcPr>
          <w:p>
            <w:pPr>
              <w:pStyle w:val="TableParagraph"/>
              <w:spacing w:before="1"/>
              <w:ind w:left="112"/>
              <w:rPr>
                <w:sz w:val="22"/>
              </w:rPr>
            </w:pPr>
            <w:r>
              <w:rPr>
                <w:sz w:val="22"/>
              </w:rPr>
              <w:t>Other</w:t>
            </w:r>
          </w:p>
        </w:tc>
        <w:tc>
          <w:tcPr>
            <w:tcW w:w="1091" w:type="dxa"/>
          </w:tcPr>
          <w:p>
            <w:pPr>
              <w:pStyle w:val="TableParagraph"/>
              <w:spacing w:before="1"/>
              <w:ind w:right="100"/>
              <w:jc w:val="right"/>
              <w:rPr>
                <w:sz w:val="22"/>
              </w:rPr>
            </w:pPr>
            <w:r>
              <w:rPr>
                <w:sz w:val="22"/>
              </w:rPr>
              <w:t>0</w:t>
            </w:r>
          </w:p>
        </w:tc>
        <w:tc>
          <w:tcPr>
            <w:tcW w:w="757" w:type="dxa"/>
          </w:tcPr>
          <w:p>
            <w:pPr>
              <w:pStyle w:val="TableParagraph"/>
              <w:spacing w:before="1"/>
              <w:ind w:right="100"/>
              <w:jc w:val="right"/>
              <w:rPr>
                <w:sz w:val="22"/>
              </w:rPr>
            </w:pPr>
            <w:r>
              <w:rPr>
                <w:sz w:val="22"/>
              </w:rPr>
              <w:t>0</w:t>
            </w:r>
          </w:p>
        </w:tc>
        <w:tc>
          <w:tcPr>
            <w:tcW w:w="903" w:type="dxa"/>
          </w:tcPr>
          <w:p>
            <w:pPr>
              <w:pStyle w:val="TableParagraph"/>
              <w:spacing w:before="1"/>
              <w:ind w:right="100"/>
              <w:jc w:val="right"/>
              <w:rPr>
                <w:sz w:val="22"/>
              </w:rPr>
            </w:pPr>
            <w:r>
              <w:rPr>
                <w:sz w:val="22"/>
              </w:rPr>
              <w:t>0</w:t>
            </w:r>
          </w:p>
        </w:tc>
        <w:tc>
          <w:tcPr>
            <w:tcW w:w="731" w:type="dxa"/>
          </w:tcPr>
          <w:p>
            <w:pPr>
              <w:pStyle w:val="TableParagraph"/>
              <w:spacing w:before="1"/>
              <w:ind w:right="100"/>
              <w:jc w:val="right"/>
              <w:rPr>
                <w:sz w:val="22"/>
              </w:rPr>
            </w:pPr>
            <w:r>
              <w:rPr>
                <w:sz w:val="22"/>
              </w:rPr>
              <w:t>0</w:t>
            </w:r>
          </w:p>
        </w:tc>
        <w:tc>
          <w:tcPr>
            <w:tcW w:w="820" w:type="dxa"/>
          </w:tcPr>
          <w:p>
            <w:pPr>
              <w:pStyle w:val="TableParagraph"/>
              <w:spacing w:before="1"/>
              <w:ind w:right="100"/>
              <w:jc w:val="right"/>
              <w:rPr>
                <w:sz w:val="22"/>
              </w:rPr>
            </w:pPr>
            <w:r>
              <w:rPr>
                <w:sz w:val="22"/>
              </w:rPr>
              <w:t>0</w:t>
            </w:r>
          </w:p>
        </w:tc>
        <w:tc>
          <w:tcPr>
            <w:tcW w:w="813" w:type="dxa"/>
          </w:tcPr>
          <w:p>
            <w:pPr>
              <w:pStyle w:val="TableParagraph"/>
              <w:spacing w:before="1"/>
              <w:ind w:right="100"/>
              <w:jc w:val="right"/>
              <w:rPr>
                <w:sz w:val="22"/>
              </w:rPr>
            </w:pPr>
            <w:r>
              <w:rPr>
                <w:sz w:val="22"/>
              </w:rPr>
              <w:t>0</w:t>
            </w:r>
          </w:p>
        </w:tc>
        <w:tc>
          <w:tcPr>
            <w:tcW w:w="1139" w:type="dxa"/>
          </w:tcPr>
          <w:p>
            <w:pPr>
              <w:pStyle w:val="TableParagraph"/>
              <w:spacing w:before="1"/>
              <w:ind w:right="100"/>
              <w:jc w:val="right"/>
              <w:rPr>
                <w:sz w:val="22"/>
              </w:rPr>
            </w:pPr>
            <w:r>
              <w:rPr>
                <w:sz w:val="22"/>
              </w:rPr>
              <w:t>0</w:t>
            </w:r>
          </w:p>
        </w:tc>
        <w:tc>
          <w:tcPr>
            <w:tcW w:w="1146" w:type="dxa"/>
          </w:tcPr>
          <w:p>
            <w:pPr>
              <w:pStyle w:val="TableParagraph"/>
              <w:spacing w:before="1"/>
              <w:ind w:right="100"/>
              <w:jc w:val="right"/>
              <w:rPr>
                <w:sz w:val="22"/>
              </w:rPr>
            </w:pPr>
            <w:r>
              <w:rPr>
                <w:sz w:val="22"/>
              </w:rPr>
              <w:t>0</w:t>
            </w:r>
          </w:p>
        </w:tc>
        <w:tc>
          <w:tcPr>
            <w:tcW w:w="949" w:type="dxa"/>
          </w:tcPr>
          <w:p>
            <w:pPr>
              <w:pStyle w:val="TableParagraph"/>
              <w:spacing w:before="1"/>
              <w:ind w:right="100"/>
              <w:jc w:val="right"/>
              <w:rPr>
                <w:sz w:val="22"/>
              </w:rPr>
            </w:pPr>
            <w:r>
              <w:rPr>
                <w:sz w:val="22"/>
              </w:rPr>
              <w:t>0</w:t>
            </w:r>
          </w:p>
        </w:tc>
      </w:tr>
    </w:tbl>
    <w:p>
      <w:pPr>
        <w:pStyle w:val="BodyText"/>
        <w:spacing w:before="3"/>
        <w:rPr>
          <w:b/>
          <w:sz w:val="25"/>
        </w:rPr>
      </w:pPr>
    </w:p>
    <w:p>
      <w:pPr>
        <w:pStyle w:val="BodyText"/>
        <w:ind w:left="215"/>
        <w:rPr>
          <w:sz w:val="20"/>
        </w:rPr>
      </w:pPr>
      <w:r>
        <w:rPr>
          <w:position w:val="0"/>
          <w:sz w:val="20"/>
        </w:rPr>
        <w:pict>
          <v:shape style="width:467.5pt;height:12.75pt;mso-position-horizontal-relative:char;mso-position-vertical-relative:line" type="#_x0000_t202" filled="false" stroked="true" strokeweight=".5pt" strokecolor="#000000">
            <w10:anchorlock/>
            <v:textbox inset="0,0,0,0">
              <w:txbxContent>
                <w:p>
                  <w:pPr>
                    <w:spacing w:line="240" w:lineRule="exact" w:before="3"/>
                    <w:ind w:left="109" w:right="0" w:firstLine="0"/>
                    <w:jc w:val="left"/>
                    <w:rPr>
                      <w:b/>
                      <w:sz w:val="20"/>
                    </w:rPr>
                  </w:pPr>
                  <w:r>
                    <w:rPr>
                      <w:b/>
                      <w:sz w:val="20"/>
                    </w:rPr>
                    <w:t>*includes Non-Elderly Disabled, Mainstream One-Year, Mainstream Five-year, and Nursing Home Transition</w:t>
                  </w:r>
                </w:p>
              </w:txbxContent>
            </v:textbox>
            <v:stroke dashstyle="solid"/>
          </v:shape>
        </w:pict>
      </w:r>
      <w:r>
        <w:rPr>
          <w:position w:val="0"/>
          <w:sz w:val="20"/>
        </w:rPr>
      </w:r>
    </w:p>
    <w:p>
      <w:pPr>
        <w:spacing w:after="0"/>
        <w:rPr>
          <w:sz w:val="20"/>
        </w:rPr>
        <w:sectPr>
          <w:pgSz w:w="12240" w:h="15840"/>
          <w:pgMar w:header="769" w:footer="1321" w:top="1340" w:bottom="1540" w:left="1220" w:right="880"/>
        </w:sectPr>
      </w:pPr>
    </w:p>
    <w:p>
      <w:pPr>
        <w:pStyle w:val="BodyText"/>
        <w:spacing w:before="6"/>
        <w:rPr>
          <w:b/>
          <w:sz w:val="16"/>
        </w:rPr>
      </w:pPr>
    </w:p>
    <w:p>
      <w:pPr>
        <w:spacing w:before="0"/>
        <w:ind w:left="335" w:right="20" w:firstLine="0"/>
        <w:jc w:val="left"/>
        <w:rPr>
          <w:b/>
          <w:sz w:val="16"/>
        </w:rPr>
      </w:pPr>
      <w:r>
        <w:rPr>
          <w:b/>
          <w:sz w:val="16"/>
        </w:rPr>
        <w:t>Data Source:</w:t>
      </w:r>
    </w:p>
    <w:p>
      <w:pPr>
        <w:spacing w:line="199" w:lineRule="exact" w:before="0"/>
        <w:ind w:left="851" w:right="0" w:firstLine="0"/>
        <w:jc w:val="left"/>
        <w:rPr>
          <w:rFonts w:ascii="Arial" w:hAnsi="Arial"/>
          <w:b/>
          <w:sz w:val="20"/>
        </w:rPr>
      </w:pPr>
      <w:r>
        <w:rPr/>
        <w:br w:type="column"/>
      </w:r>
      <w:r>
        <w:rPr>
          <w:rFonts w:ascii="Arial" w:hAnsi="Arial"/>
          <w:b/>
          <w:sz w:val="20"/>
        </w:rPr>
        <w:t>Table 25 – Race of Public Housing Residents by Program Type</w:t>
      </w:r>
    </w:p>
    <w:p>
      <w:pPr>
        <w:spacing w:before="3"/>
        <w:ind w:left="335" w:right="0" w:firstLine="0"/>
        <w:jc w:val="left"/>
        <w:rPr>
          <w:sz w:val="16"/>
        </w:rPr>
      </w:pPr>
      <w:r>
        <w:rPr>
          <w:sz w:val="16"/>
        </w:rPr>
        <w:t>PIC (PIH Information Center)</w:t>
      </w:r>
    </w:p>
    <w:p>
      <w:pPr>
        <w:spacing w:after="0"/>
        <w:jc w:val="left"/>
        <w:rPr>
          <w:sz w:val="16"/>
        </w:rPr>
        <w:sectPr>
          <w:type w:val="continuous"/>
          <w:pgSz w:w="12240" w:h="15840"/>
          <w:pgMar w:top="1340" w:bottom="1520" w:left="1220" w:right="880"/>
          <w:cols w:num="2" w:equalWidth="0">
            <w:col w:w="872" w:space="198"/>
            <w:col w:w="9070"/>
          </w:cols>
        </w:sectPr>
      </w:pPr>
    </w:p>
    <w:p>
      <w:pPr>
        <w:pStyle w:val="BodyText"/>
        <w:rPr>
          <w:sz w:val="20"/>
        </w:rPr>
      </w:pPr>
    </w:p>
    <w:p>
      <w:pPr>
        <w:pStyle w:val="BodyText"/>
        <w:spacing w:before="5"/>
        <w:rPr>
          <w:sz w:val="20"/>
        </w:rPr>
      </w:pPr>
    </w:p>
    <w:p>
      <w:pPr>
        <w:pStyle w:val="Heading4"/>
        <w:spacing w:before="52"/>
      </w:pPr>
      <w:r>
        <w:rPr/>
        <w:t>Ethnicity of Residents</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1091"/>
        <w:gridCol w:w="758"/>
        <w:gridCol w:w="904"/>
        <w:gridCol w:w="733"/>
        <w:gridCol w:w="822"/>
        <w:gridCol w:w="815"/>
        <w:gridCol w:w="1139"/>
        <w:gridCol w:w="1146"/>
        <w:gridCol w:w="950"/>
      </w:tblGrid>
      <w:tr>
        <w:trPr>
          <w:trHeight w:val="239" w:hRule="atLeast"/>
        </w:trPr>
        <w:tc>
          <w:tcPr>
            <w:tcW w:w="9350" w:type="dxa"/>
            <w:gridSpan w:val="10"/>
          </w:tcPr>
          <w:p>
            <w:pPr>
              <w:pStyle w:val="TableParagraph"/>
              <w:spacing w:line="218" w:lineRule="exact" w:before="1"/>
              <w:ind w:left="3083" w:right="3073"/>
              <w:jc w:val="center"/>
              <w:rPr>
                <w:b/>
                <w:sz w:val="20"/>
              </w:rPr>
            </w:pPr>
            <w:r>
              <w:rPr>
                <w:b/>
                <w:sz w:val="20"/>
              </w:rPr>
              <w:t>Program Type</w:t>
            </w:r>
          </w:p>
        </w:tc>
      </w:tr>
      <w:tr>
        <w:trPr>
          <w:trHeight w:val="239" w:hRule="atLeast"/>
        </w:trPr>
        <w:tc>
          <w:tcPr>
            <w:tcW w:w="992" w:type="dxa"/>
            <w:vMerge w:val="restart"/>
          </w:tcPr>
          <w:p>
            <w:pPr>
              <w:pStyle w:val="TableParagraph"/>
              <w:spacing w:before="1"/>
              <w:ind w:left="129"/>
              <w:rPr>
                <w:b/>
                <w:sz w:val="20"/>
              </w:rPr>
            </w:pPr>
            <w:r>
              <w:rPr>
                <w:b/>
                <w:sz w:val="20"/>
              </w:rPr>
              <w:t>Ethnicity</w:t>
            </w:r>
          </w:p>
        </w:tc>
        <w:tc>
          <w:tcPr>
            <w:tcW w:w="1091" w:type="dxa"/>
            <w:vMerge w:val="restart"/>
          </w:tcPr>
          <w:p>
            <w:pPr>
              <w:pStyle w:val="TableParagraph"/>
              <w:spacing w:before="1"/>
              <w:ind w:left="112"/>
              <w:rPr>
                <w:b/>
                <w:sz w:val="20"/>
              </w:rPr>
            </w:pPr>
            <w:r>
              <w:rPr>
                <w:b/>
                <w:sz w:val="20"/>
              </w:rPr>
              <w:t>Certificate</w:t>
            </w:r>
          </w:p>
        </w:tc>
        <w:tc>
          <w:tcPr>
            <w:tcW w:w="758" w:type="dxa"/>
            <w:vMerge w:val="restart"/>
          </w:tcPr>
          <w:p>
            <w:pPr>
              <w:pStyle w:val="TableParagraph"/>
              <w:spacing w:before="1"/>
              <w:ind w:left="113" w:right="83" w:firstLine="37"/>
              <w:rPr>
                <w:b/>
                <w:sz w:val="20"/>
              </w:rPr>
            </w:pPr>
            <w:r>
              <w:rPr>
                <w:b/>
                <w:sz w:val="20"/>
              </w:rPr>
              <w:t>Mod- Rehab</w:t>
            </w:r>
          </w:p>
        </w:tc>
        <w:tc>
          <w:tcPr>
            <w:tcW w:w="904" w:type="dxa"/>
            <w:vMerge w:val="restart"/>
          </w:tcPr>
          <w:p>
            <w:pPr>
              <w:pStyle w:val="TableParagraph"/>
              <w:spacing w:before="1"/>
              <w:ind w:left="113" w:right="83" w:firstLine="84"/>
              <w:rPr>
                <w:b/>
                <w:sz w:val="20"/>
              </w:rPr>
            </w:pPr>
            <w:r>
              <w:rPr>
                <w:b/>
                <w:sz w:val="20"/>
              </w:rPr>
              <w:t>Public Housing</w:t>
            </w:r>
          </w:p>
        </w:tc>
        <w:tc>
          <w:tcPr>
            <w:tcW w:w="5605" w:type="dxa"/>
            <w:gridSpan w:val="6"/>
          </w:tcPr>
          <w:p>
            <w:pPr>
              <w:pStyle w:val="TableParagraph"/>
              <w:spacing w:line="218" w:lineRule="exact" w:before="1"/>
              <w:ind w:left="112"/>
              <w:rPr>
                <w:b/>
                <w:sz w:val="20"/>
              </w:rPr>
            </w:pPr>
            <w:r>
              <w:rPr>
                <w:b/>
                <w:sz w:val="20"/>
              </w:rPr>
              <w:t>Vouchers</w:t>
            </w:r>
          </w:p>
        </w:tc>
      </w:tr>
      <w:tr>
        <w:trPr>
          <w:trHeight w:val="239" w:hRule="atLeast"/>
        </w:trPr>
        <w:tc>
          <w:tcPr>
            <w:tcW w:w="992" w:type="dxa"/>
            <w:vMerge/>
            <w:tcBorders>
              <w:top w:val="nil"/>
            </w:tcBorders>
          </w:tcPr>
          <w:p>
            <w:pPr>
              <w:rPr>
                <w:sz w:val="2"/>
                <w:szCs w:val="2"/>
              </w:rPr>
            </w:pPr>
          </w:p>
        </w:tc>
        <w:tc>
          <w:tcPr>
            <w:tcW w:w="1091" w:type="dxa"/>
            <w:vMerge/>
            <w:tcBorders>
              <w:top w:val="nil"/>
            </w:tcBorders>
          </w:tcPr>
          <w:p>
            <w:pPr>
              <w:rPr>
                <w:sz w:val="2"/>
                <w:szCs w:val="2"/>
              </w:rPr>
            </w:pPr>
          </w:p>
        </w:tc>
        <w:tc>
          <w:tcPr>
            <w:tcW w:w="758" w:type="dxa"/>
            <w:vMerge/>
            <w:tcBorders>
              <w:top w:val="nil"/>
            </w:tcBorders>
          </w:tcPr>
          <w:p>
            <w:pPr>
              <w:rPr>
                <w:sz w:val="2"/>
                <w:szCs w:val="2"/>
              </w:rPr>
            </w:pPr>
          </w:p>
        </w:tc>
        <w:tc>
          <w:tcPr>
            <w:tcW w:w="904" w:type="dxa"/>
            <w:vMerge/>
            <w:tcBorders>
              <w:top w:val="nil"/>
            </w:tcBorders>
          </w:tcPr>
          <w:p>
            <w:pPr>
              <w:rPr>
                <w:sz w:val="2"/>
                <w:szCs w:val="2"/>
              </w:rPr>
            </w:pPr>
          </w:p>
        </w:tc>
        <w:tc>
          <w:tcPr>
            <w:tcW w:w="733" w:type="dxa"/>
            <w:vMerge w:val="restart"/>
          </w:tcPr>
          <w:p>
            <w:pPr>
              <w:pStyle w:val="TableParagraph"/>
              <w:spacing w:before="1"/>
              <w:ind w:left="152"/>
              <w:rPr>
                <w:b/>
                <w:sz w:val="20"/>
              </w:rPr>
            </w:pPr>
            <w:r>
              <w:rPr>
                <w:b/>
                <w:sz w:val="20"/>
              </w:rPr>
              <w:t>Total</w:t>
            </w:r>
          </w:p>
        </w:tc>
        <w:tc>
          <w:tcPr>
            <w:tcW w:w="822" w:type="dxa"/>
            <w:vMerge w:val="restart"/>
          </w:tcPr>
          <w:p>
            <w:pPr>
              <w:pStyle w:val="TableParagraph"/>
              <w:spacing w:before="1"/>
              <w:ind w:left="113"/>
              <w:rPr>
                <w:b/>
                <w:sz w:val="20"/>
              </w:rPr>
            </w:pPr>
            <w:r>
              <w:rPr>
                <w:b/>
                <w:sz w:val="20"/>
              </w:rPr>
              <w:t>Project</w:t>
            </w:r>
          </w:p>
          <w:p>
            <w:pPr>
              <w:pStyle w:val="TableParagraph"/>
              <w:ind w:left="130"/>
              <w:rPr>
                <w:b/>
                <w:sz w:val="20"/>
              </w:rPr>
            </w:pPr>
            <w:r>
              <w:rPr>
                <w:b/>
                <w:sz w:val="20"/>
              </w:rPr>
              <w:t>-based</w:t>
            </w:r>
          </w:p>
        </w:tc>
        <w:tc>
          <w:tcPr>
            <w:tcW w:w="815" w:type="dxa"/>
            <w:vMerge w:val="restart"/>
          </w:tcPr>
          <w:p>
            <w:pPr>
              <w:pStyle w:val="TableParagraph"/>
              <w:spacing w:before="1"/>
              <w:ind w:left="113"/>
              <w:rPr>
                <w:b/>
                <w:sz w:val="20"/>
              </w:rPr>
            </w:pPr>
            <w:r>
              <w:rPr>
                <w:b/>
                <w:sz w:val="20"/>
              </w:rPr>
              <w:t>Tenant</w:t>
            </w:r>
          </w:p>
          <w:p>
            <w:pPr>
              <w:pStyle w:val="TableParagraph"/>
              <w:ind w:left="127"/>
              <w:rPr>
                <w:b/>
                <w:sz w:val="20"/>
              </w:rPr>
            </w:pPr>
            <w:r>
              <w:rPr>
                <w:b/>
                <w:sz w:val="20"/>
              </w:rPr>
              <w:t>-based</w:t>
            </w:r>
          </w:p>
        </w:tc>
        <w:tc>
          <w:tcPr>
            <w:tcW w:w="3235" w:type="dxa"/>
            <w:gridSpan w:val="3"/>
          </w:tcPr>
          <w:p>
            <w:pPr>
              <w:pStyle w:val="TableParagraph"/>
              <w:spacing w:line="218" w:lineRule="exact" w:before="1"/>
              <w:ind w:left="590"/>
              <w:rPr>
                <w:b/>
                <w:sz w:val="20"/>
              </w:rPr>
            </w:pPr>
            <w:r>
              <w:rPr>
                <w:b/>
                <w:sz w:val="20"/>
              </w:rPr>
              <w:t>Special Purpose Voucher</w:t>
            </w:r>
          </w:p>
        </w:tc>
      </w:tr>
      <w:tr>
        <w:trPr>
          <w:trHeight w:val="971" w:hRule="atLeast"/>
        </w:trPr>
        <w:tc>
          <w:tcPr>
            <w:tcW w:w="992" w:type="dxa"/>
            <w:vMerge/>
            <w:tcBorders>
              <w:top w:val="nil"/>
            </w:tcBorders>
          </w:tcPr>
          <w:p>
            <w:pPr>
              <w:rPr>
                <w:sz w:val="2"/>
                <w:szCs w:val="2"/>
              </w:rPr>
            </w:pPr>
          </w:p>
        </w:tc>
        <w:tc>
          <w:tcPr>
            <w:tcW w:w="1091" w:type="dxa"/>
            <w:vMerge/>
            <w:tcBorders>
              <w:top w:val="nil"/>
            </w:tcBorders>
          </w:tcPr>
          <w:p>
            <w:pPr>
              <w:rPr>
                <w:sz w:val="2"/>
                <w:szCs w:val="2"/>
              </w:rPr>
            </w:pPr>
          </w:p>
        </w:tc>
        <w:tc>
          <w:tcPr>
            <w:tcW w:w="758" w:type="dxa"/>
            <w:vMerge/>
            <w:tcBorders>
              <w:top w:val="nil"/>
            </w:tcBorders>
          </w:tcPr>
          <w:p>
            <w:pPr>
              <w:rPr>
                <w:sz w:val="2"/>
                <w:szCs w:val="2"/>
              </w:rPr>
            </w:pPr>
          </w:p>
        </w:tc>
        <w:tc>
          <w:tcPr>
            <w:tcW w:w="904" w:type="dxa"/>
            <w:vMerge/>
            <w:tcBorders>
              <w:top w:val="nil"/>
            </w:tcBorders>
          </w:tcPr>
          <w:p>
            <w:pPr>
              <w:rPr>
                <w:sz w:val="2"/>
                <w:szCs w:val="2"/>
              </w:rPr>
            </w:pPr>
          </w:p>
        </w:tc>
        <w:tc>
          <w:tcPr>
            <w:tcW w:w="733" w:type="dxa"/>
            <w:vMerge/>
            <w:tcBorders>
              <w:top w:val="nil"/>
            </w:tcBorders>
          </w:tcPr>
          <w:p>
            <w:pPr>
              <w:rPr>
                <w:sz w:val="2"/>
                <w:szCs w:val="2"/>
              </w:rPr>
            </w:pPr>
          </w:p>
        </w:tc>
        <w:tc>
          <w:tcPr>
            <w:tcW w:w="822" w:type="dxa"/>
            <w:vMerge/>
            <w:tcBorders>
              <w:top w:val="nil"/>
            </w:tcBorders>
          </w:tcPr>
          <w:p>
            <w:pPr>
              <w:rPr>
                <w:sz w:val="2"/>
                <w:szCs w:val="2"/>
              </w:rPr>
            </w:pPr>
          </w:p>
        </w:tc>
        <w:tc>
          <w:tcPr>
            <w:tcW w:w="815" w:type="dxa"/>
            <w:vMerge/>
            <w:tcBorders>
              <w:top w:val="nil"/>
            </w:tcBorders>
          </w:tcPr>
          <w:p>
            <w:pPr>
              <w:rPr>
                <w:sz w:val="2"/>
                <w:szCs w:val="2"/>
              </w:rPr>
            </w:pPr>
          </w:p>
        </w:tc>
        <w:tc>
          <w:tcPr>
            <w:tcW w:w="1139" w:type="dxa"/>
          </w:tcPr>
          <w:p>
            <w:pPr>
              <w:pStyle w:val="TableParagraph"/>
              <w:spacing w:line="240" w:lineRule="atLeast" w:before="1"/>
              <w:ind w:left="112" w:right="100"/>
              <w:jc w:val="center"/>
              <w:rPr>
                <w:b/>
                <w:sz w:val="20"/>
              </w:rPr>
            </w:pPr>
            <w:r>
              <w:rPr>
                <w:b/>
                <w:sz w:val="20"/>
              </w:rPr>
              <w:t>Veterans Affairs Supportive Housing</w:t>
            </w:r>
          </w:p>
        </w:tc>
        <w:tc>
          <w:tcPr>
            <w:tcW w:w="1146" w:type="dxa"/>
          </w:tcPr>
          <w:p>
            <w:pPr>
              <w:pStyle w:val="TableParagraph"/>
              <w:spacing w:before="1"/>
              <w:ind w:left="112" w:right="100"/>
              <w:jc w:val="center"/>
              <w:rPr>
                <w:b/>
                <w:sz w:val="20"/>
              </w:rPr>
            </w:pPr>
            <w:r>
              <w:rPr>
                <w:b/>
                <w:sz w:val="20"/>
              </w:rPr>
              <w:t>Family Unification Program</w:t>
            </w:r>
          </w:p>
        </w:tc>
        <w:tc>
          <w:tcPr>
            <w:tcW w:w="950" w:type="dxa"/>
          </w:tcPr>
          <w:p>
            <w:pPr>
              <w:pStyle w:val="TableParagraph"/>
              <w:spacing w:before="1"/>
              <w:ind w:left="93" w:right="83"/>
              <w:jc w:val="center"/>
              <w:rPr>
                <w:b/>
                <w:sz w:val="20"/>
              </w:rPr>
            </w:pPr>
            <w:r>
              <w:rPr>
                <w:b/>
                <w:sz w:val="20"/>
              </w:rPr>
              <w:t>Disabled</w:t>
            </w:r>
          </w:p>
          <w:p>
            <w:pPr>
              <w:pStyle w:val="TableParagraph"/>
              <w:ind w:left="10"/>
              <w:jc w:val="center"/>
              <w:rPr>
                <w:b/>
                <w:sz w:val="20"/>
              </w:rPr>
            </w:pPr>
            <w:r>
              <w:rPr>
                <w:b/>
                <w:sz w:val="20"/>
              </w:rPr>
              <w:t>*</w:t>
            </w:r>
          </w:p>
        </w:tc>
      </w:tr>
      <w:tr>
        <w:trPr>
          <w:trHeight w:val="497" w:hRule="atLeast"/>
        </w:trPr>
        <w:tc>
          <w:tcPr>
            <w:tcW w:w="992" w:type="dxa"/>
          </w:tcPr>
          <w:p>
            <w:pPr>
              <w:pStyle w:val="TableParagraph"/>
              <w:spacing w:line="264" w:lineRule="exact"/>
              <w:ind w:left="112"/>
              <w:rPr>
                <w:sz w:val="22"/>
              </w:rPr>
            </w:pPr>
            <w:r>
              <w:rPr>
                <w:sz w:val="22"/>
              </w:rPr>
              <w:t>Hispanic</w:t>
            </w:r>
          </w:p>
        </w:tc>
        <w:tc>
          <w:tcPr>
            <w:tcW w:w="1091" w:type="dxa"/>
          </w:tcPr>
          <w:p>
            <w:pPr>
              <w:pStyle w:val="TableParagraph"/>
              <w:spacing w:line="264" w:lineRule="exact"/>
              <w:ind w:right="100"/>
              <w:jc w:val="right"/>
              <w:rPr>
                <w:sz w:val="22"/>
              </w:rPr>
            </w:pPr>
            <w:r>
              <w:rPr>
                <w:sz w:val="22"/>
              </w:rPr>
              <w:t>0</w:t>
            </w:r>
          </w:p>
        </w:tc>
        <w:tc>
          <w:tcPr>
            <w:tcW w:w="758" w:type="dxa"/>
          </w:tcPr>
          <w:p>
            <w:pPr>
              <w:pStyle w:val="TableParagraph"/>
              <w:spacing w:line="264" w:lineRule="exact"/>
              <w:ind w:right="100"/>
              <w:jc w:val="right"/>
              <w:rPr>
                <w:sz w:val="22"/>
              </w:rPr>
            </w:pPr>
            <w:r>
              <w:rPr>
                <w:sz w:val="22"/>
              </w:rPr>
              <w:t>0</w:t>
            </w:r>
          </w:p>
        </w:tc>
        <w:tc>
          <w:tcPr>
            <w:tcW w:w="904" w:type="dxa"/>
          </w:tcPr>
          <w:p>
            <w:pPr>
              <w:pStyle w:val="TableParagraph"/>
              <w:spacing w:line="264" w:lineRule="exact"/>
              <w:ind w:right="100"/>
              <w:jc w:val="right"/>
              <w:rPr>
                <w:sz w:val="22"/>
              </w:rPr>
            </w:pPr>
            <w:r>
              <w:rPr>
                <w:sz w:val="22"/>
              </w:rPr>
              <w:t>2</w:t>
            </w:r>
          </w:p>
        </w:tc>
        <w:tc>
          <w:tcPr>
            <w:tcW w:w="733" w:type="dxa"/>
          </w:tcPr>
          <w:p>
            <w:pPr>
              <w:pStyle w:val="TableParagraph"/>
              <w:spacing w:line="264" w:lineRule="exact"/>
              <w:ind w:right="100"/>
              <w:jc w:val="right"/>
              <w:rPr>
                <w:sz w:val="22"/>
              </w:rPr>
            </w:pPr>
            <w:r>
              <w:rPr>
                <w:sz w:val="22"/>
              </w:rPr>
              <w:t>14</w:t>
            </w:r>
          </w:p>
        </w:tc>
        <w:tc>
          <w:tcPr>
            <w:tcW w:w="822" w:type="dxa"/>
          </w:tcPr>
          <w:p>
            <w:pPr>
              <w:pStyle w:val="TableParagraph"/>
              <w:spacing w:line="264" w:lineRule="exact"/>
              <w:ind w:right="100"/>
              <w:jc w:val="right"/>
              <w:rPr>
                <w:sz w:val="22"/>
              </w:rPr>
            </w:pPr>
            <w:r>
              <w:rPr>
                <w:sz w:val="22"/>
              </w:rPr>
              <w:t>0</w:t>
            </w:r>
          </w:p>
        </w:tc>
        <w:tc>
          <w:tcPr>
            <w:tcW w:w="815" w:type="dxa"/>
          </w:tcPr>
          <w:p>
            <w:pPr>
              <w:pStyle w:val="TableParagraph"/>
              <w:spacing w:line="264" w:lineRule="exact"/>
              <w:ind w:right="100"/>
              <w:jc w:val="right"/>
              <w:rPr>
                <w:sz w:val="22"/>
              </w:rPr>
            </w:pPr>
            <w:r>
              <w:rPr>
                <w:sz w:val="22"/>
              </w:rPr>
              <w:t>14</w:t>
            </w:r>
          </w:p>
        </w:tc>
        <w:tc>
          <w:tcPr>
            <w:tcW w:w="1139" w:type="dxa"/>
          </w:tcPr>
          <w:p>
            <w:pPr>
              <w:pStyle w:val="TableParagraph"/>
              <w:spacing w:line="264" w:lineRule="exact"/>
              <w:ind w:right="100"/>
              <w:jc w:val="right"/>
              <w:rPr>
                <w:sz w:val="22"/>
              </w:rPr>
            </w:pPr>
            <w:r>
              <w:rPr>
                <w:sz w:val="22"/>
              </w:rPr>
              <w:t>0</w:t>
            </w:r>
          </w:p>
        </w:tc>
        <w:tc>
          <w:tcPr>
            <w:tcW w:w="1146" w:type="dxa"/>
          </w:tcPr>
          <w:p>
            <w:pPr>
              <w:pStyle w:val="TableParagraph"/>
              <w:spacing w:line="264" w:lineRule="exact"/>
              <w:ind w:right="100"/>
              <w:jc w:val="right"/>
              <w:rPr>
                <w:sz w:val="22"/>
              </w:rPr>
            </w:pPr>
            <w:r>
              <w:rPr>
                <w:sz w:val="22"/>
              </w:rPr>
              <w:t>0</w:t>
            </w:r>
          </w:p>
        </w:tc>
        <w:tc>
          <w:tcPr>
            <w:tcW w:w="950" w:type="dxa"/>
          </w:tcPr>
          <w:p>
            <w:pPr>
              <w:pStyle w:val="TableParagraph"/>
              <w:spacing w:line="264" w:lineRule="exact"/>
              <w:ind w:right="100"/>
              <w:jc w:val="right"/>
              <w:rPr>
                <w:sz w:val="22"/>
              </w:rPr>
            </w:pPr>
            <w:r>
              <w:rPr>
                <w:sz w:val="22"/>
              </w:rPr>
              <w:t>0</w:t>
            </w:r>
          </w:p>
        </w:tc>
      </w:tr>
      <w:tr>
        <w:trPr>
          <w:trHeight w:val="812" w:hRule="atLeast"/>
        </w:trPr>
        <w:tc>
          <w:tcPr>
            <w:tcW w:w="992" w:type="dxa"/>
          </w:tcPr>
          <w:p>
            <w:pPr>
              <w:pStyle w:val="TableParagraph"/>
              <w:spacing w:line="276" w:lineRule="auto" w:before="1"/>
              <w:ind w:left="112" w:right="91"/>
              <w:rPr>
                <w:sz w:val="22"/>
              </w:rPr>
            </w:pPr>
            <w:r>
              <w:rPr>
                <w:sz w:val="22"/>
              </w:rPr>
              <w:t>Not Hispanic</w:t>
            </w:r>
          </w:p>
        </w:tc>
        <w:tc>
          <w:tcPr>
            <w:tcW w:w="1091" w:type="dxa"/>
          </w:tcPr>
          <w:p>
            <w:pPr>
              <w:pStyle w:val="TableParagraph"/>
              <w:spacing w:before="5"/>
              <w:rPr>
                <w:b/>
                <w:sz w:val="25"/>
              </w:rPr>
            </w:pPr>
          </w:p>
          <w:p>
            <w:pPr>
              <w:pStyle w:val="TableParagraph"/>
              <w:ind w:right="100"/>
              <w:jc w:val="right"/>
              <w:rPr>
                <w:sz w:val="22"/>
              </w:rPr>
            </w:pPr>
            <w:r>
              <w:rPr>
                <w:sz w:val="22"/>
              </w:rPr>
              <w:t>0</w:t>
            </w:r>
          </w:p>
        </w:tc>
        <w:tc>
          <w:tcPr>
            <w:tcW w:w="758" w:type="dxa"/>
          </w:tcPr>
          <w:p>
            <w:pPr>
              <w:pStyle w:val="TableParagraph"/>
              <w:spacing w:before="5"/>
              <w:rPr>
                <w:b/>
                <w:sz w:val="25"/>
              </w:rPr>
            </w:pPr>
          </w:p>
          <w:p>
            <w:pPr>
              <w:pStyle w:val="TableParagraph"/>
              <w:ind w:right="100"/>
              <w:jc w:val="right"/>
              <w:rPr>
                <w:sz w:val="22"/>
              </w:rPr>
            </w:pPr>
            <w:r>
              <w:rPr>
                <w:sz w:val="22"/>
              </w:rPr>
              <w:t>11</w:t>
            </w:r>
          </w:p>
        </w:tc>
        <w:tc>
          <w:tcPr>
            <w:tcW w:w="904" w:type="dxa"/>
          </w:tcPr>
          <w:p>
            <w:pPr>
              <w:pStyle w:val="TableParagraph"/>
              <w:spacing w:before="5"/>
              <w:rPr>
                <w:b/>
                <w:sz w:val="25"/>
              </w:rPr>
            </w:pPr>
          </w:p>
          <w:p>
            <w:pPr>
              <w:pStyle w:val="TableParagraph"/>
              <w:ind w:right="100"/>
              <w:jc w:val="right"/>
              <w:rPr>
                <w:sz w:val="22"/>
              </w:rPr>
            </w:pPr>
            <w:r>
              <w:rPr>
                <w:sz w:val="22"/>
              </w:rPr>
              <w:t>294</w:t>
            </w:r>
          </w:p>
        </w:tc>
        <w:tc>
          <w:tcPr>
            <w:tcW w:w="733" w:type="dxa"/>
          </w:tcPr>
          <w:p>
            <w:pPr>
              <w:pStyle w:val="TableParagraph"/>
              <w:spacing w:before="5"/>
              <w:rPr>
                <w:b/>
                <w:sz w:val="25"/>
              </w:rPr>
            </w:pPr>
          </w:p>
          <w:p>
            <w:pPr>
              <w:pStyle w:val="TableParagraph"/>
              <w:ind w:right="100"/>
              <w:jc w:val="right"/>
              <w:rPr>
                <w:sz w:val="22"/>
              </w:rPr>
            </w:pPr>
            <w:r>
              <w:rPr>
                <w:sz w:val="22"/>
              </w:rPr>
              <w:t>1,235</w:t>
            </w:r>
          </w:p>
        </w:tc>
        <w:tc>
          <w:tcPr>
            <w:tcW w:w="822" w:type="dxa"/>
          </w:tcPr>
          <w:p>
            <w:pPr>
              <w:pStyle w:val="TableParagraph"/>
              <w:spacing w:before="5"/>
              <w:rPr>
                <w:b/>
                <w:sz w:val="25"/>
              </w:rPr>
            </w:pPr>
          </w:p>
          <w:p>
            <w:pPr>
              <w:pStyle w:val="TableParagraph"/>
              <w:ind w:right="100"/>
              <w:jc w:val="right"/>
              <w:rPr>
                <w:sz w:val="22"/>
              </w:rPr>
            </w:pPr>
            <w:r>
              <w:rPr>
                <w:sz w:val="22"/>
              </w:rPr>
              <w:t>22</w:t>
            </w:r>
          </w:p>
        </w:tc>
        <w:tc>
          <w:tcPr>
            <w:tcW w:w="815" w:type="dxa"/>
          </w:tcPr>
          <w:p>
            <w:pPr>
              <w:pStyle w:val="TableParagraph"/>
              <w:spacing w:before="5"/>
              <w:rPr>
                <w:b/>
                <w:sz w:val="25"/>
              </w:rPr>
            </w:pPr>
          </w:p>
          <w:p>
            <w:pPr>
              <w:pStyle w:val="TableParagraph"/>
              <w:ind w:right="100"/>
              <w:jc w:val="right"/>
              <w:rPr>
                <w:sz w:val="22"/>
              </w:rPr>
            </w:pPr>
            <w:r>
              <w:rPr>
                <w:sz w:val="22"/>
              </w:rPr>
              <w:t>1,167</w:t>
            </w:r>
          </w:p>
        </w:tc>
        <w:tc>
          <w:tcPr>
            <w:tcW w:w="1139" w:type="dxa"/>
          </w:tcPr>
          <w:p>
            <w:pPr>
              <w:pStyle w:val="TableParagraph"/>
              <w:spacing w:before="5"/>
              <w:rPr>
                <w:b/>
                <w:sz w:val="25"/>
              </w:rPr>
            </w:pPr>
          </w:p>
          <w:p>
            <w:pPr>
              <w:pStyle w:val="TableParagraph"/>
              <w:ind w:right="100"/>
              <w:jc w:val="right"/>
              <w:rPr>
                <w:sz w:val="22"/>
              </w:rPr>
            </w:pPr>
            <w:r>
              <w:rPr>
                <w:sz w:val="22"/>
              </w:rPr>
              <w:t>35</w:t>
            </w:r>
          </w:p>
        </w:tc>
        <w:tc>
          <w:tcPr>
            <w:tcW w:w="1146" w:type="dxa"/>
          </w:tcPr>
          <w:p>
            <w:pPr>
              <w:pStyle w:val="TableParagraph"/>
              <w:spacing w:before="5"/>
              <w:rPr>
                <w:b/>
                <w:sz w:val="25"/>
              </w:rPr>
            </w:pPr>
          </w:p>
          <w:p>
            <w:pPr>
              <w:pStyle w:val="TableParagraph"/>
              <w:ind w:right="100"/>
              <w:jc w:val="right"/>
              <w:rPr>
                <w:sz w:val="22"/>
              </w:rPr>
            </w:pPr>
            <w:r>
              <w:rPr>
                <w:sz w:val="22"/>
              </w:rPr>
              <w:t>0</w:t>
            </w:r>
          </w:p>
        </w:tc>
        <w:tc>
          <w:tcPr>
            <w:tcW w:w="950" w:type="dxa"/>
          </w:tcPr>
          <w:p>
            <w:pPr>
              <w:pStyle w:val="TableParagraph"/>
              <w:spacing w:before="5"/>
              <w:rPr>
                <w:b/>
                <w:sz w:val="25"/>
              </w:rPr>
            </w:pPr>
          </w:p>
          <w:p>
            <w:pPr>
              <w:pStyle w:val="TableParagraph"/>
              <w:ind w:right="100"/>
              <w:jc w:val="right"/>
              <w:rPr>
                <w:sz w:val="22"/>
              </w:rPr>
            </w:pPr>
            <w:r>
              <w:rPr>
                <w:sz w:val="22"/>
              </w:rPr>
              <w:t>0</w:t>
            </w:r>
          </w:p>
        </w:tc>
      </w:tr>
    </w:tbl>
    <w:p>
      <w:pPr>
        <w:spacing w:after="0"/>
        <w:jc w:val="right"/>
        <w:rPr>
          <w:sz w:val="22"/>
        </w:rPr>
        <w:sectPr>
          <w:type w:val="continuous"/>
          <w:pgSz w:w="12240" w:h="15840"/>
          <w:pgMar w:top="1340" w:bottom="1520" w:left="1220" w:right="880"/>
        </w:sectPr>
      </w:pPr>
    </w:p>
    <w:p>
      <w:pPr>
        <w:pStyle w:val="BodyText"/>
        <w:rPr>
          <w:b/>
          <w:sz w:val="20"/>
        </w:rPr>
      </w:pPr>
    </w:p>
    <w:p>
      <w:pPr>
        <w:pStyle w:val="BodyText"/>
        <w:spacing w:before="8"/>
        <w:rPr>
          <w:b/>
          <w:sz w:val="12"/>
        </w:rPr>
      </w:pPr>
    </w:p>
    <w:p>
      <w:pPr>
        <w:pStyle w:val="BodyText"/>
        <w:ind w:left="215"/>
        <w:rPr>
          <w:sz w:val="20"/>
        </w:rPr>
      </w:pPr>
      <w:r>
        <w:rPr>
          <w:position w:val="0"/>
          <w:sz w:val="20"/>
        </w:rPr>
        <w:pict>
          <v:shape style="width:467.5pt;height:12.75pt;mso-position-horizontal-relative:char;mso-position-vertical-relative:line" type="#_x0000_t202" filled="false" stroked="true" strokeweight=".5pt" strokecolor="#000000">
            <w10:anchorlock/>
            <v:textbox inset="0,0,0,0">
              <w:txbxContent>
                <w:p>
                  <w:pPr>
                    <w:spacing w:line="240" w:lineRule="exact" w:before="3"/>
                    <w:ind w:left="109" w:right="0" w:firstLine="0"/>
                    <w:jc w:val="left"/>
                    <w:rPr>
                      <w:b/>
                      <w:sz w:val="20"/>
                    </w:rPr>
                  </w:pPr>
                  <w:r>
                    <w:rPr>
                      <w:b/>
                      <w:sz w:val="20"/>
                    </w:rPr>
                    <w:t>*includes Non-Elderly Disabled, Mainstream One-Year, Mainstream Five-year, and Nursing Home Transition</w:t>
                  </w:r>
                </w:p>
              </w:txbxContent>
            </v:textbox>
            <v:stroke dashstyle="solid"/>
          </v:shape>
        </w:pict>
      </w:r>
      <w:r>
        <w:rPr>
          <w:position w:val="0"/>
          <w:sz w:val="20"/>
        </w:rPr>
      </w:r>
    </w:p>
    <w:p>
      <w:pPr>
        <w:spacing w:line="199" w:lineRule="exact" w:before="0"/>
        <w:ind w:left="535" w:right="874" w:firstLine="0"/>
        <w:jc w:val="center"/>
        <w:rPr>
          <w:rFonts w:ascii="Arial" w:hAnsi="Arial"/>
          <w:b/>
          <w:sz w:val="20"/>
        </w:rPr>
      </w:pPr>
      <w:r>
        <w:rPr>
          <w:rFonts w:ascii="Arial" w:hAnsi="Arial"/>
          <w:b/>
          <w:sz w:val="20"/>
        </w:rPr>
        <w:t>Table 26 – Ethnicity of Public Housing Residents by Program Type</w:t>
      </w:r>
    </w:p>
    <w:p>
      <w:pPr>
        <w:tabs>
          <w:tab w:pos="1566" w:val="left" w:leader="none"/>
        </w:tabs>
        <w:spacing w:before="3"/>
        <w:ind w:left="335" w:right="0" w:firstLine="0"/>
        <w:jc w:val="left"/>
        <w:rPr>
          <w:sz w:val="16"/>
        </w:rPr>
      </w:pPr>
      <w:r>
        <w:rPr>
          <w:b/>
          <w:sz w:val="16"/>
        </w:rPr>
        <w:t>Data Source:</w:t>
        <w:tab/>
      </w:r>
      <w:r>
        <w:rPr>
          <w:sz w:val="16"/>
        </w:rPr>
        <w:t>PIC (PIH Information Center)</w:t>
      </w:r>
    </w:p>
    <w:p>
      <w:pPr>
        <w:pStyle w:val="BodyText"/>
        <w:rPr>
          <w:sz w:val="16"/>
        </w:rPr>
      </w:pPr>
    </w:p>
    <w:p>
      <w:pPr>
        <w:pStyle w:val="BodyText"/>
        <w:rPr>
          <w:sz w:val="16"/>
        </w:rPr>
      </w:pPr>
    </w:p>
    <w:p>
      <w:pPr>
        <w:pStyle w:val="BodyText"/>
        <w:rPr>
          <w:sz w:val="16"/>
        </w:rPr>
      </w:pPr>
    </w:p>
    <w:p>
      <w:pPr>
        <w:pStyle w:val="BodyText"/>
        <w:spacing w:before="7"/>
        <w:rPr>
          <w:sz w:val="12"/>
        </w:rPr>
      </w:pPr>
    </w:p>
    <w:p>
      <w:pPr>
        <w:pStyle w:val="Heading4"/>
        <w:spacing w:line="276" w:lineRule="auto"/>
        <w:ind w:right="742"/>
      </w:pPr>
      <w:r>
        <w:rPr/>
        <w:t>Section 504 Needs Assessment: Describe the needs of public housing tenants and applicants on the waiting list for accessible units:</w:t>
      </w:r>
    </w:p>
    <w:p>
      <w:pPr>
        <w:pStyle w:val="BodyText"/>
        <w:spacing w:line="276" w:lineRule="auto" w:before="199"/>
        <w:ind w:left="220" w:right="637"/>
      </w:pPr>
      <w:r>
        <w:rPr/>
        <w:t>There are 2,168 households on the waitlist for RAD units and 987 on the waitlist for Housing Choice Vouchers, demonstrating a significant need for more affordable housing in Bloomington. The tenants and applicants on the waiting list for accessible units at the BHA represent some of the most vulnerable individuals in the community. Their needs go far beyond simply finding affordable housing; they require accommodations that support both their physical disabilities and their broader well-being. For many, the lack of accessible housing creates significant barriers to living independently and safely, amplifying the urgency of addressing these needs.</w:t>
      </w:r>
    </w:p>
    <w:p>
      <w:pPr>
        <w:pStyle w:val="BodyText"/>
        <w:spacing w:before="5"/>
        <w:rPr>
          <w:sz w:val="16"/>
        </w:rPr>
      </w:pPr>
    </w:p>
    <w:p>
      <w:pPr>
        <w:pStyle w:val="Heading4"/>
        <w:spacing w:before="1"/>
      </w:pPr>
      <w:r>
        <w:rPr/>
        <w:t>Most immediate needs of residents of Public Housing and Housing Choice voucher holders</w:t>
      </w:r>
    </w:p>
    <w:p>
      <w:pPr>
        <w:pStyle w:val="BodyText"/>
        <w:spacing w:before="11"/>
        <w:rPr>
          <w:b/>
          <w:sz w:val="19"/>
        </w:rPr>
      </w:pPr>
    </w:p>
    <w:p>
      <w:pPr>
        <w:pStyle w:val="BodyText"/>
        <w:spacing w:line="276" w:lineRule="auto"/>
        <w:ind w:left="220" w:right="569"/>
      </w:pPr>
      <w:r>
        <w:rPr/>
        <w:t>According to stakeholders, the most immediate needs of BHA’s RAD tenants and HCV holders typically focus on maintaining stable, affordable housing while addressing concerns related to access to essential services such as public transportation and childcare. These needs are particularly pressing given that both groups primarily consist of low-income households, many of whom face additional challenges such as disabilities, aging, or limited access to resources. Stakeholders reported low utilization of the Housing Choice Vouchers due to lack of inventory, landlords being unwilling to participate in the program, or rents that exceed the allowable payment standards for the HCV program. The BHA created a landlord incentive program, including a landlord risk mitigation fund, to encourage more landlords to accept vouchers, but progress is slow and more promotion is needed.</w:t>
      </w:r>
    </w:p>
    <w:p>
      <w:pPr>
        <w:pStyle w:val="BodyText"/>
        <w:spacing w:before="5"/>
        <w:rPr>
          <w:sz w:val="16"/>
        </w:rPr>
      </w:pPr>
    </w:p>
    <w:p>
      <w:pPr>
        <w:pStyle w:val="Heading4"/>
      </w:pPr>
      <w:r>
        <w:rPr/>
        <w:t>How do these needs compare to the housing needs of the population at large</w:t>
      </w:r>
    </w:p>
    <w:p>
      <w:pPr>
        <w:pStyle w:val="BodyText"/>
        <w:spacing w:before="12"/>
        <w:rPr>
          <w:b/>
          <w:sz w:val="19"/>
        </w:rPr>
      </w:pPr>
    </w:p>
    <w:p>
      <w:pPr>
        <w:pStyle w:val="BodyText"/>
        <w:spacing w:line="276" w:lineRule="auto"/>
        <w:ind w:left="220" w:right="542"/>
      </w:pPr>
      <w:r>
        <w:rPr/>
        <w:t>These needs are similar to the low-income members of the population at large. Affordable housing, transportation, and affordable childcare are needed by all low-income residents across the City. A lack of affordable housing is making it difficult for low-income households to find housing that fits their budget and that grants them access to jobs and essential amenities. This is compounded by inadequate public transportation and affordable childcare.</w:t>
      </w:r>
    </w:p>
    <w:p>
      <w:pPr>
        <w:pStyle w:val="BodyText"/>
        <w:spacing w:before="5"/>
        <w:rPr>
          <w:sz w:val="16"/>
        </w:rPr>
      </w:pPr>
    </w:p>
    <w:p>
      <w:pPr>
        <w:pStyle w:val="Heading4"/>
      </w:pPr>
      <w:r>
        <w:rPr/>
        <w:t>Discussion</w:t>
      </w:r>
    </w:p>
    <w:p>
      <w:pPr>
        <w:pStyle w:val="BodyText"/>
        <w:spacing w:line="276" w:lineRule="auto" w:before="156"/>
        <w:ind w:left="220" w:right="825"/>
      </w:pPr>
      <w:r>
        <w:rPr/>
        <w:t>BHA’s RAD tenants and applicants on the waiting list for accessible units face urgent and multifaceted needs. Many require homes equipped with accessibility features, such as wheelchair ramps, wider doorways, and modified bathrooms, which are crucial for individuals with mobility challenges. These accommodations are essential for ensuring safety and independence within their living spaces.</w:t>
      </w:r>
    </w:p>
    <w:p>
      <w:pPr>
        <w:spacing w:after="0" w:line="276" w:lineRule="auto"/>
        <w:sectPr>
          <w:pgSz w:w="12240" w:h="15840"/>
          <w:pgMar w:header="769" w:footer="1321" w:top="1340" w:bottom="1540" w:left="1220" w:right="880"/>
        </w:sectPr>
      </w:pPr>
    </w:p>
    <w:p>
      <w:pPr>
        <w:pStyle w:val="BodyText"/>
        <w:spacing w:line="276" w:lineRule="auto" w:before="94"/>
        <w:ind w:left="220" w:right="569"/>
      </w:pPr>
      <w:r>
        <w:rPr/>
        <w:t>The immediate financial concerns for these individuals cannot be overlooked. Many are low-income </w:t>
      </w:r>
      <w:r>
        <w:rPr>
          <w:spacing w:val="-9"/>
        </w:rPr>
        <w:t>or </w:t>
      </w:r>
      <w:r>
        <w:rPr/>
        <w:t>on fixed incomes due to disabilities, making affordable housing a critical need. While public housing provides relief, those on waiting lists often struggle with rental costs and utility expenses, highlighting the importance of continued access to rental assistance programs.</w:t>
      </w:r>
    </w:p>
    <w:p>
      <w:pPr>
        <w:pStyle w:val="BodyText"/>
        <w:spacing w:before="4"/>
        <w:rPr>
          <w:sz w:val="16"/>
        </w:rPr>
      </w:pPr>
    </w:p>
    <w:p>
      <w:pPr>
        <w:pStyle w:val="BodyText"/>
        <w:spacing w:line="276" w:lineRule="auto"/>
        <w:ind w:left="220" w:right="569"/>
      </w:pPr>
      <w:r>
        <w:rPr/>
        <w:t>For current residents of RAD and Housing Choice voucher holders, immediate needs include adequate maintenance and repairs of their living units, as many face issues related to aging infrastructure. </w:t>
      </w:r>
      <w:r>
        <w:rPr>
          <w:spacing w:val="-3"/>
        </w:rPr>
        <w:t>Access </w:t>
      </w:r>
      <w:r>
        <w:rPr/>
        <w:t>to supportive services, such as case management and job training programs, is also crucial in helping residents improve their economic stability and overall well-being.</w:t>
      </w:r>
    </w:p>
    <w:p>
      <w:pPr>
        <w:pStyle w:val="BodyText"/>
        <w:spacing w:before="5"/>
        <w:rPr>
          <w:sz w:val="16"/>
        </w:rPr>
      </w:pPr>
    </w:p>
    <w:p>
      <w:pPr>
        <w:pStyle w:val="BodyText"/>
        <w:spacing w:line="276" w:lineRule="auto"/>
        <w:ind w:left="220" w:right="906"/>
      </w:pPr>
      <w:r>
        <w:rPr/>
        <w:t>Additionally, many tenants and voucher holders require reliable transportation options to access employment, healthcare, and community resources, as limited mobility can significantly impact their ability to thrive.</w:t>
      </w:r>
    </w:p>
    <w:p>
      <w:pPr>
        <w:pStyle w:val="BodyText"/>
        <w:spacing w:before="5"/>
        <w:rPr>
          <w:sz w:val="16"/>
        </w:rPr>
      </w:pPr>
    </w:p>
    <w:p>
      <w:pPr>
        <w:pStyle w:val="BodyText"/>
        <w:spacing w:line="276" w:lineRule="auto"/>
        <w:ind w:left="220" w:right="643"/>
      </w:pPr>
      <w:r>
        <w:rPr/>
        <w:t>In summary, the needs of RAD tenants and applicants waiting for accessible units in Bloomington are centered around accessibility, affordability, and supportive services. Addressing these immediate needs is vital for fostering stability and enhancing the quality of life for these vulnerable populations.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spacing w:after="0"/>
        <w:rPr>
          <w:sz w:val="21"/>
        </w:rPr>
        <w:sectPr>
          <w:headerReference w:type="default" r:id="rId13"/>
          <w:footerReference w:type="default" r:id="rId14"/>
          <w:pgSz w:w="12240" w:h="15840"/>
          <w:pgMar w:header="769" w:footer="726" w:top="1340" w:bottom="920" w:left="1220" w:right="880"/>
        </w:sectPr>
      </w:pPr>
    </w:p>
    <w:p>
      <w:pPr>
        <w:pStyle w:val="BodyText"/>
        <w:spacing w:before="56"/>
        <w:ind w:left="236" w:right="21" w:firstLine="99"/>
      </w:pPr>
      <w:r>
        <w:rPr/>
        <w:t>Consolidated Plan</w:t>
      </w:r>
    </w:p>
    <w:p>
      <w:pPr>
        <w:pStyle w:val="BodyText"/>
        <w:tabs>
          <w:tab w:pos="5638" w:val="right" w:leader="none"/>
        </w:tabs>
        <w:spacing w:before="56"/>
        <w:ind w:left="236"/>
      </w:pPr>
      <w:r>
        <w:rPr/>
        <w:br w:type="column"/>
      </w:r>
      <w:r>
        <w:rPr/>
        <w:t>BLOOMINGTON</w:t>
        <w:tab/>
        <w:t>49</w:t>
      </w:r>
    </w:p>
    <w:p>
      <w:pPr>
        <w:spacing w:after="0"/>
        <w:sectPr>
          <w:type w:val="continuous"/>
          <w:pgSz w:w="12240" w:h="15840"/>
          <w:pgMar w:top="1340" w:bottom="1520" w:left="1220" w:right="880"/>
          <w:cols w:num="2" w:equalWidth="0">
            <w:col w:w="1548" w:space="2279"/>
            <w:col w:w="6313"/>
          </w:cols>
        </w:sectPr>
      </w:pPr>
    </w:p>
    <w:p>
      <w:pPr>
        <w:pStyle w:val="Heading1"/>
        <w:spacing w:before="466"/>
        <w:ind w:left="120"/>
      </w:pPr>
      <w:r>
        <w:rPr/>
        <w:pict>
          <v:shape style="position:absolute;margin-left:71.75pt;margin-top:58.60313pt;width:369.5pt;height:416.7pt;mso-position-horizontal-relative:page;mso-position-vertical-relative:paragraph;z-index:25166233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37"/>
                    <w:gridCol w:w="750"/>
                    <w:gridCol w:w="750"/>
                    <w:gridCol w:w="1438"/>
                  </w:tblGrid>
                  <w:tr>
                    <w:trPr>
                      <w:trHeight w:val="285" w:hRule="atLeast"/>
                    </w:trPr>
                    <w:tc>
                      <w:tcPr>
                        <w:tcW w:w="7375" w:type="dxa"/>
                        <w:gridSpan w:val="4"/>
                        <w:shd w:val="clear" w:color="auto" w:fill="2F5395"/>
                      </w:tcPr>
                      <w:p>
                        <w:pPr>
                          <w:pStyle w:val="TableParagraph"/>
                          <w:spacing w:line="253" w:lineRule="exact" w:before="11"/>
                          <w:ind w:left="1524" w:right="1514"/>
                          <w:jc w:val="center"/>
                          <w:rPr>
                            <w:rFonts w:ascii="Arial"/>
                            <w:b/>
                            <w:sz w:val="24"/>
                          </w:rPr>
                        </w:pPr>
                        <w:r>
                          <w:rPr>
                            <w:rFonts w:ascii="Arial"/>
                            <w:b/>
                            <w:color w:val="FFFFFF"/>
                            <w:sz w:val="24"/>
                          </w:rPr>
                          <w:t>Households with Children</w:t>
                        </w:r>
                      </w:p>
                    </w:tc>
                  </w:tr>
                  <w:tr>
                    <w:trPr>
                      <w:trHeight w:val="546" w:hRule="atLeast"/>
                    </w:trPr>
                    <w:tc>
                      <w:tcPr>
                        <w:tcW w:w="4437" w:type="dxa"/>
                      </w:tcPr>
                      <w:p>
                        <w:pPr>
                          <w:pStyle w:val="TableParagraph"/>
                          <w:rPr>
                            <w:rFonts w:ascii="Times New Roman"/>
                            <w:sz w:val="22"/>
                          </w:rPr>
                        </w:pPr>
                      </w:p>
                    </w:tc>
                    <w:tc>
                      <w:tcPr>
                        <w:tcW w:w="750" w:type="dxa"/>
                      </w:tcPr>
                      <w:p>
                        <w:pPr>
                          <w:pStyle w:val="TableParagraph"/>
                          <w:spacing w:line="273" w:lineRule="exact"/>
                          <w:ind w:left="152" w:right="142"/>
                          <w:jc w:val="center"/>
                          <w:rPr>
                            <w:rFonts w:ascii="Arial"/>
                            <w:b/>
                            <w:sz w:val="24"/>
                          </w:rPr>
                        </w:pPr>
                        <w:r>
                          <w:rPr>
                            <w:rFonts w:ascii="Arial"/>
                            <w:b/>
                            <w:sz w:val="24"/>
                          </w:rPr>
                          <w:t>201</w:t>
                        </w:r>
                      </w:p>
                      <w:p>
                        <w:pPr>
                          <w:pStyle w:val="TableParagraph"/>
                          <w:spacing w:line="253" w:lineRule="exact"/>
                          <w:ind w:left="10"/>
                          <w:jc w:val="center"/>
                          <w:rPr>
                            <w:rFonts w:ascii="Arial"/>
                            <w:b/>
                            <w:sz w:val="24"/>
                          </w:rPr>
                        </w:pPr>
                        <w:r>
                          <w:rPr>
                            <w:rFonts w:ascii="Arial"/>
                            <w:b/>
                            <w:sz w:val="24"/>
                          </w:rPr>
                          <w:t>9</w:t>
                        </w:r>
                      </w:p>
                    </w:tc>
                    <w:tc>
                      <w:tcPr>
                        <w:tcW w:w="750" w:type="dxa"/>
                      </w:tcPr>
                      <w:p>
                        <w:pPr>
                          <w:pStyle w:val="TableParagraph"/>
                          <w:spacing w:line="273" w:lineRule="exact"/>
                          <w:ind w:left="152" w:right="142"/>
                          <w:jc w:val="center"/>
                          <w:rPr>
                            <w:rFonts w:ascii="Arial"/>
                            <w:b/>
                            <w:sz w:val="24"/>
                          </w:rPr>
                        </w:pPr>
                        <w:r>
                          <w:rPr>
                            <w:rFonts w:ascii="Arial"/>
                            <w:b/>
                            <w:sz w:val="24"/>
                          </w:rPr>
                          <w:t>202</w:t>
                        </w:r>
                      </w:p>
                      <w:p>
                        <w:pPr>
                          <w:pStyle w:val="TableParagraph"/>
                          <w:spacing w:line="253" w:lineRule="exact"/>
                          <w:ind w:left="10"/>
                          <w:jc w:val="center"/>
                          <w:rPr>
                            <w:rFonts w:ascii="Arial"/>
                            <w:b/>
                            <w:sz w:val="24"/>
                          </w:rPr>
                        </w:pPr>
                        <w:r>
                          <w:rPr>
                            <w:rFonts w:ascii="Arial"/>
                            <w:b/>
                            <w:sz w:val="24"/>
                          </w:rPr>
                          <w:t>4</w:t>
                        </w:r>
                      </w:p>
                    </w:tc>
                    <w:tc>
                      <w:tcPr>
                        <w:tcW w:w="1438" w:type="dxa"/>
                      </w:tcPr>
                      <w:p>
                        <w:pPr>
                          <w:pStyle w:val="TableParagraph"/>
                          <w:spacing w:line="273" w:lineRule="exact"/>
                          <w:ind w:left="116" w:right="106"/>
                          <w:jc w:val="center"/>
                          <w:rPr>
                            <w:rFonts w:ascii="Arial"/>
                            <w:b/>
                            <w:sz w:val="24"/>
                          </w:rPr>
                        </w:pPr>
                        <w:r>
                          <w:rPr>
                            <w:rFonts w:ascii="Arial"/>
                            <w:b/>
                            <w:sz w:val="24"/>
                          </w:rPr>
                          <w:t>% Change</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households</w:t>
                        </w:r>
                      </w:p>
                    </w:tc>
                    <w:tc>
                      <w:tcPr>
                        <w:tcW w:w="750" w:type="dxa"/>
                      </w:tcPr>
                      <w:p>
                        <w:pPr>
                          <w:pStyle w:val="TableParagraph"/>
                          <w:spacing w:line="253" w:lineRule="exact" w:before="11"/>
                          <w:ind w:left="239"/>
                          <w:rPr>
                            <w:rFonts w:ascii="Arial"/>
                            <w:sz w:val="24"/>
                          </w:rPr>
                        </w:pPr>
                        <w:r>
                          <w:rPr>
                            <w:rFonts w:ascii="Arial"/>
                            <w:sz w:val="24"/>
                          </w:rPr>
                          <w:t>40</w:t>
                        </w:r>
                      </w:p>
                    </w:tc>
                    <w:tc>
                      <w:tcPr>
                        <w:tcW w:w="750" w:type="dxa"/>
                      </w:tcPr>
                      <w:p>
                        <w:pPr>
                          <w:pStyle w:val="TableParagraph"/>
                          <w:spacing w:line="265" w:lineRule="exact"/>
                          <w:ind w:left="152" w:right="142"/>
                          <w:jc w:val="center"/>
                          <w:rPr>
                            <w:rFonts w:ascii="Arial"/>
                            <w:sz w:val="24"/>
                          </w:rPr>
                        </w:pPr>
                        <w:r>
                          <w:rPr>
                            <w:rFonts w:ascii="Arial"/>
                            <w:sz w:val="24"/>
                          </w:rPr>
                          <w:t>41</w:t>
                        </w:r>
                      </w:p>
                    </w:tc>
                    <w:tc>
                      <w:tcPr>
                        <w:tcW w:w="1438" w:type="dxa"/>
                      </w:tcPr>
                      <w:p>
                        <w:pPr>
                          <w:pStyle w:val="TableParagraph"/>
                          <w:spacing w:line="265" w:lineRule="exact"/>
                          <w:ind w:left="116" w:right="106"/>
                          <w:jc w:val="center"/>
                          <w:rPr>
                            <w:rFonts w:ascii="Arial"/>
                            <w:sz w:val="24"/>
                          </w:rPr>
                        </w:pPr>
                        <w:r>
                          <w:rPr>
                            <w:rFonts w:ascii="Arial"/>
                            <w:sz w:val="24"/>
                          </w:rPr>
                          <w:t>+2.5%</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Number of persons</w:t>
                        </w:r>
                      </w:p>
                    </w:tc>
                    <w:tc>
                      <w:tcPr>
                        <w:tcW w:w="750" w:type="dxa"/>
                      </w:tcPr>
                      <w:p>
                        <w:pPr>
                          <w:pStyle w:val="TableParagraph"/>
                          <w:spacing w:line="253" w:lineRule="exact" w:before="11"/>
                          <w:ind w:left="172"/>
                          <w:rPr>
                            <w:rFonts w:ascii="Arial"/>
                            <w:sz w:val="24"/>
                          </w:rPr>
                        </w:pPr>
                        <w:r>
                          <w:rPr>
                            <w:rFonts w:ascii="Arial"/>
                            <w:sz w:val="24"/>
                          </w:rPr>
                          <w:t>133</w:t>
                        </w:r>
                      </w:p>
                    </w:tc>
                    <w:tc>
                      <w:tcPr>
                        <w:tcW w:w="750" w:type="dxa"/>
                      </w:tcPr>
                      <w:p>
                        <w:pPr>
                          <w:pStyle w:val="TableParagraph"/>
                          <w:spacing w:line="265" w:lineRule="exact"/>
                          <w:ind w:left="152" w:right="142"/>
                          <w:jc w:val="center"/>
                          <w:rPr>
                            <w:rFonts w:ascii="Arial"/>
                            <w:sz w:val="24"/>
                          </w:rPr>
                        </w:pPr>
                        <w:r>
                          <w:rPr>
                            <w:rFonts w:ascii="Arial"/>
                            <w:sz w:val="24"/>
                          </w:rPr>
                          <w:t>140</w:t>
                        </w:r>
                      </w:p>
                    </w:tc>
                    <w:tc>
                      <w:tcPr>
                        <w:tcW w:w="1438" w:type="dxa"/>
                      </w:tcPr>
                      <w:p>
                        <w:pPr>
                          <w:pStyle w:val="TableParagraph"/>
                          <w:spacing w:line="265" w:lineRule="exact"/>
                          <w:ind w:left="116" w:right="106"/>
                          <w:jc w:val="center"/>
                          <w:rPr>
                            <w:rFonts w:ascii="Arial"/>
                            <w:sz w:val="24"/>
                          </w:rPr>
                        </w:pPr>
                        <w:r>
                          <w:rPr>
                            <w:rFonts w:ascii="Arial"/>
                            <w:sz w:val="24"/>
                          </w:rPr>
                          <w:t>+5.26%</w:t>
                        </w:r>
                      </w:p>
                    </w:tc>
                  </w:tr>
                  <w:tr>
                    <w:trPr>
                      <w:trHeight w:val="285" w:hRule="atLeast"/>
                    </w:trPr>
                    <w:tc>
                      <w:tcPr>
                        <w:tcW w:w="5187" w:type="dxa"/>
                        <w:gridSpan w:val="2"/>
                        <w:shd w:val="clear" w:color="auto" w:fill="D9E1F1"/>
                      </w:tcPr>
                      <w:p>
                        <w:pPr>
                          <w:pStyle w:val="TableParagraph"/>
                          <w:spacing w:line="253" w:lineRule="exact" w:before="11"/>
                          <w:ind w:left="592"/>
                          <w:rPr>
                            <w:rFonts w:ascii="Arial"/>
                            <w:sz w:val="24"/>
                          </w:rPr>
                        </w:pPr>
                        <w:r>
                          <w:rPr>
                            <w:rFonts w:ascii="Arial"/>
                            <w:sz w:val="24"/>
                          </w:rPr>
                          <w:t>Chronically Homeless</w:t>
                        </w:r>
                      </w:p>
                    </w:tc>
                    <w:tc>
                      <w:tcPr>
                        <w:tcW w:w="750" w:type="dxa"/>
                        <w:shd w:val="clear" w:color="auto" w:fill="D9E1F1"/>
                      </w:tcPr>
                      <w:p>
                        <w:pPr>
                          <w:pStyle w:val="TableParagraph"/>
                          <w:rPr>
                            <w:rFonts w:ascii="Times New Roman"/>
                            <w:sz w:val="20"/>
                          </w:rPr>
                        </w:pPr>
                      </w:p>
                    </w:tc>
                    <w:tc>
                      <w:tcPr>
                        <w:tcW w:w="1438" w:type="dxa"/>
                        <w:shd w:val="clear" w:color="auto" w:fill="D9E1F1"/>
                      </w:tcPr>
                      <w:p>
                        <w:pPr>
                          <w:pStyle w:val="TableParagraph"/>
                          <w:rPr>
                            <w:rFonts w:ascii="Times New Roman"/>
                            <w:sz w:val="20"/>
                          </w:rPr>
                        </w:pP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persons</w:t>
                        </w:r>
                      </w:p>
                    </w:tc>
                    <w:tc>
                      <w:tcPr>
                        <w:tcW w:w="750" w:type="dxa"/>
                      </w:tcPr>
                      <w:p>
                        <w:pPr>
                          <w:pStyle w:val="TableParagraph"/>
                          <w:spacing w:line="253" w:lineRule="exact" w:before="11"/>
                          <w:ind w:left="10"/>
                          <w:jc w:val="center"/>
                          <w:rPr>
                            <w:rFonts w:ascii="Arial"/>
                            <w:sz w:val="24"/>
                          </w:rPr>
                        </w:pPr>
                        <w:r>
                          <w:rPr>
                            <w:rFonts w:ascii="Arial"/>
                            <w:sz w:val="24"/>
                          </w:rPr>
                          <w:t>2</w:t>
                        </w:r>
                      </w:p>
                    </w:tc>
                    <w:tc>
                      <w:tcPr>
                        <w:tcW w:w="750" w:type="dxa"/>
                      </w:tcPr>
                      <w:p>
                        <w:pPr>
                          <w:pStyle w:val="TableParagraph"/>
                          <w:spacing w:line="265" w:lineRule="exact"/>
                          <w:ind w:left="10"/>
                          <w:jc w:val="center"/>
                          <w:rPr>
                            <w:rFonts w:ascii="Arial"/>
                            <w:sz w:val="24"/>
                          </w:rPr>
                        </w:pPr>
                        <w:r>
                          <w:rPr>
                            <w:rFonts w:ascii="Arial"/>
                            <w:sz w:val="24"/>
                          </w:rPr>
                          <w:t>3</w:t>
                        </w:r>
                      </w:p>
                    </w:tc>
                    <w:tc>
                      <w:tcPr>
                        <w:tcW w:w="1438" w:type="dxa"/>
                      </w:tcPr>
                      <w:p>
                        <w:pPr>
                          <w:pStyle w:val="TableParagraph"/>
                          <w:spacing w:line="265" w:lineRule="exact"/>
                          <w:ind w:left="116" w:right="106"/>
                          <w:jc w:val="center"/>
                          <w:rPr>
                            <w:rFonts w:ascii="Arial"/>
                            <w:sz w:val="24"/>
                          </w:rPr>
                        </w:pPr>
                        <w:r>
                          <w:rPr>
                            <w:rFonts w:ascii="Arial"/>
                            <w:sz w:val="24"/>
                          </w:rPr>
                          <w:t>+50%</w:t>
                        </w:r>
                      </w:p>
                    </w:tc>
                  </w:tr>
                  <w:tr>
                    <w:trPr>
                      <w:trHeight w:val="285" w:hRule="atLeast"/>
                    </w:trPr>
                    <w:tc>
                      <w:tcPr>
                        <w:tcW w:w="7375" w:type="dxa"/>
                        <w:gridSpan w:val="4"/>
                        <w:shd w:val="clear" w:color="auto" w:fill="2F5395"/>
                      </w:tcPr>
                      <w:p>
                        <w:pPr>
                          <w:pStyle w:val="TableParagraph"/>
                          <w:spacing w:line="253" w:lineRule="exact" w:before="11"/>
                          <w:ind w:left="1524" w:right="1514"/>
                          <w:jc w:val="center"/>
                          <w:rPr>
                            <w:rFonts w:ascii="Arial"/>
                            <w:b/>
                            <w:sz w:val="24"/>
                          </w:rPr>
                        </w:pPr>
                        <w:r>
                          <w:rPr>
                            <w:rFonts w:ascii="Arial"/>
                            <w:b/>
                            <w:color w:val="FFFFFF"/>
                            <w:sz w:val="24"/>
                          </w:rPr>
                          <w:t>Households without Children</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households</w:t>
                        </w:r>
                      </w:p>
                    </w:tc>
                    <w:tc>
                      <w:tcPr>
                        <w:tcW w:w="750" w:type="dxa"/>
                      </w:tcPr>
                      <w:p>
                        <w:pPr>
                          <w:pStyle w:val="TableParagraph"/>
                          <w:spacing w:line="253" w:lineRule="exact" w:before="11"/>
                          <w:ind w:left="172"/>
                          <w:rPr>
                            <w:rFonts w:ascii="Arial"/>
                            <w:sz w:val="24"/>
                          </w:rPr>
                        </w:pPr>
                        <w:r>
                          <w:rPr>
                            <w:rFonts w:ascii="Arial"/>
                            <w:sz w:val="24"/>
                          </w:rPr>
                          <w:t>240</w:t>
                        </w:r>
                      </w:p>
                    </w:tc>
                    <w:tc>
                      <w:tcPr>
                        <w:tcW w:w="750" w:type="dxa"/>
                      </w:tcPr>
                      <w:p>
                        <w:pPr>
                          <w:pStyle w:val="TableParagraph"/>
                          <w:spacing w:line="265" w:lineRule="exact"/>
                          <w:ind w:left="152" w:right="142"/>
                          <w:jc w:val="center"/>
                          <w:rPr>
                            <w:rFonts w:ascii="Arial"/>
                            <w:sz w:val="24"/>
                          </w:rPr>
                        </w:pPr>
                        <w:r>
                          <w:rPr>
                            <w:rFonts w:ascii="Arial"/>
                            <w:sz w:val="24"/>
                          </w:rPr>
                          <w:t>202</w:t>
                        </w:r>
                      </w:p>
                    </w:tc>
                    <w:tc>
                      <w:tcPr>
                        <w:tcW w:w="1438" w:type="dxa"/>
                      </w:tcPr>
                      <w:p>
                        <w:pPr>
                          <w:pStyle w:val="TableParagraph"/>
                          <w:spacing w:line="265" w:lineRule="exact"/>
                          <w:ind w:left="116" w:right="106"/>
                          <w:jc w:val="center"/>
                          <w:rPr>
                            <w:rFonts w:ascii="Arial"/>
                            <w:sz w:val="24"/>
                          </w:rPr>
                        </w:pPr>
                        <w:r>
                          <w:rPr>
                            <w:rFonts w:ascii="Arial"/>
                            <w:sz w:val="24"/>
                          </w:rPr>
                          <w:t>-15.83%</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persons</w:t>
                        </w:r>
                      </w:p>
                    </w:tc>
                    <w:tc>
                      <w:tcPr>
                        <w:tcW w:w="750" w:type="dxa"/>
                      </w:tcPr>
                      <w:p>
                        <w:pPr>
                          <w:pStyle w:val="TableParagraph"/>
                          <w:spacing w:line="253" w:lineRule="exact" w:before="11"/>
                          <w:ind w:left="172"/>
                          <w:rPr>
                            <w:rFonts w:ascii="Arial"/>
                            <w:sz w:val="24"/>
                          </w:rPr>
                        </w:pPr>
                        <w:r>
                          <w:rPr>
                            <w:rFonts w:ascii="Arial"/>
                            <w:sz w:val="24"/>
                          </w:rPr>
                          <w:t>243</w:t>
                        </w:r>
                      </w:p>
                    </w:tc>
                    <w:tc>
                      <w:tcPr>
                        <w:tcW w:w="750" w:type="dxa"/>
                      </w:tcPr>
                      <w:p>
                        <w:pPr>
                          <w:pStyle w:val="TableParagraph"/>
                          <w:spacing w:line="265" w:lineRule="exact"/>
                          <w:ind w:left="152" w:right="142"/>
                          <w:jc w:val="center"/>
                          <w:rPr>
                            <w:rFonts w:ascii="Arial"/>
                            <w:sz w:val="24"/>
                          </w:rPr>
                        </w:pPr>
                        <w:r>
                          <w:rPr>
                            <w:rFonts w:ascii="Arial"/>
                            <w:sz w:val="24"/>
                          </w:rPr>
                          <w:t>207</w:t>
                        </w:r>
                      </w:p>
                    </w:tc>
                    <w:tc>
                      <w:tcPr>
                        <w:tcW w:w="1438" w:type="dxa"/>
                      </w:tcPr>
                      <w:p>
                        <w:pPr>
                          <w:pStyle w:val="TableParagraph"/>
                          <w:spacing w:line="265" w:lineRule="exact"/>
                          <w:ind w:left="116" w:right="106"/>
                          <w:jc w:val="center"/>
                          <w:rPr>
                            <w:rFonts w:ascii="Arial"/>
                            <w:sz w:val="24"/>
                          </w:rPr>
                        </w:pPr>
                        <w:r>
                          <w:rPr>
                            <w:rFonts w:ascii="Arial"/>
                            <w:sz w:val="24"/>
                          </w:rPr>
                          <w:t>-14.81%</w:t>
                        </w:r>
                      </w:p>
                    </w:tc>
                  </w:tr>
                  <w:tr>
                    <w:trPr>
                      <w:trHeight w:val="285" w:hRule="atLeast"/>
                    </w:trPr>
                    <w:tc>
                      <w:tcPr>
                        <w:tcW w:w="5187" w:type="dxa"/>
                        <w:gridSpan w:val="2"/>
                        <w:shd w:val="clear" w:color="auto" w:fill="D9E1F1"/>
                      </w:tcPr>
                      <w:p>
                        <w:pPr>
                          <w:pStyle w:val="TableParagraph"/>
                          <w:spacing w:line="253" w:lineRule="exact" w:before="11"/>
                          <w:ind w:left="592"/>
                          <w:rPr>
                            <w:rFonts w:ascii="Arial"/>
                            <w:sz w:val="24"/>
                          </w:rPr>
                        </w:pPr>
                        <w:r>
                          <w:rPr>
                            <w:rFonts w:ascii="Arial"/>
                            <w:sz w:val="24"/>
                          </w:rPr>
                          <w:t>Chronically Homeless</w:t>
                        </w:r>
                      </w:p>
                    </w:tc>
                    <w:tc>
                      <w:tcPr>
                        <w:tcW w:w="750" w:type="dxa"/>
                        <w:shd w:val="clear" w:color="auto" w:fill="D9E1F1"/>
                      </w:tcPr>
                      <w:p>
                        <w:pPr>
                          <w:pStyle w:val="TableParagraph"/>
                          <w:rPr>
                            <w:rFonts w:ascii="Times New Roman"/>
                            <w:sz w:val="20"/>
                          </w:rPr>
                        </w:pPr>
                      </w:p>
                    </w:tc>
                    <w:tc>
                      <w:tcPr>
                        <w:tcW w:w="1438" w:type="dxa"/>
                        <w:shd w:val="clear" w:color="auto" w:fill="D9E1F1"/>
                      </w:tcPr>
                      <w:p>
                        <w:pPr>
                          <w:pStyle w:val="TableParagraph"/>
                          <w:rPr>
                            <w:rFonts w:ascii="Times New Roman"/>
                            <w:sz w:val="20"/>
                          </w:rPr>
                        </w:pP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Persons</w:t>
                        </w:r>
                      </w:p>
                    </w:tc>
                    <w:tc>
                      <w:tcPr>
                        <w:tcW w:w="750" w:type="dxa"/>
                      </w:tcPr>
                      <w:p>
                        <w:pPr>
                          <w:pStyle w:val="TableParagraph"/>
                          <w:spacing w:line="253" w:lineRule="exact" w:before="11"/>
                          <w:ind w:left="239"/>
                          <w:rPr>
                            <w:rFonts w:ascii="Arial"/>
                            <w:sz w:val="24"/>
                          </w:rPr>
                        </w:pPr>
                        <w:r>
                          <w:rPr>
                            <w:rFonts w:ascii="Arial"/>
                            <w:sz w:val="24"/>
                          </w:rPr>
                          <w:t>46</w:t>
                        </w:r>
                      </w:p>
                    </w:tc>
                    <w:tc>
                      <w:tcPr>
                        <w:tcW w:w="750" w:type="dxa"/>
                      </w:tcPr>
                      <w:p>
                        <w:pPr>
                          <w:pStyle w:val="TableParagraph"/>
                          <w:spacing w:line="265" w:lineRule="exact"/>
                          <w:ind w:left="152" w:right="142"/>
                          <w:jc w:val="center"/>
                          <w:rPr>
                            <w:rFonts w:ascii="Arial"/>
                            <w:sz w:val="24"/>
                          </w:rPr>
                        </w:pPr>
                        <w:r>
                          <w:rPr>
                            <w:rFonts w:ascii="Arial"/>
                            <w:sz w:val="24"/>
                          </w:rPr>
                          <w:t>11</w:t>
                        </w:r>
                      </w:p>
                    </w:tc>
                    <w:tc>
                      <w:tcPr>
                        <w:tcW w:w="1438" w:type="dxa"/>
                      </w:tcPr>
                      <w:p>
                        <w:pPr>
                          <w:pStyle w:val="TableParagraph"/>
                          <w:spacing w:line="265" w:lineRule="exact"/>
                          <w:ind w:left="116" w:right="106"/>
                          <w:jc w:val="center"/>
                          <w:rPr>
                            <w:rFonts w:ascii="Arial"/>
                            <w:sz w:val="24"/>
                          </w:rPr>
                        </w:pPr>
                        <w:r>
                          <w:rPr>
                            <w:rFonts w:ascii="Arial"/>
                            <w:sz w:val="24"/>
                          </w:rPr>
                          <w:t>-76.09%</w:t>
                        </w:r>
                      </w:p>
                    </w:tc>
                  </w:tr>
                  <w:tr>
                    <w:trPr>
                      <w:trHeight w:val="285" w:hRule="atLeast"/>
                    </w:trPr>
                    <w:tc>
                      <w:tcPr>
                        <w:tcW w:w="7375" w:type="dxa"/>
                        <w:gridSpan w:val="4"/>
                        <w:shd w:val="clear" w:color="auto" w:fill="2F5395"/>
                      </w:tcPr>
                      <w:p>
                        <w:pPr>
                          <w:pStyle w:val="TableParagraph"/>
                          <w:spacing w:line="253" w:lineRule="exact" w:before="11"/>
                          <w:ind w:left="1524" w:right="1514"/>
                          <w:jc w:val="center"/>
                          <w:rPr>
                            <w:rFonts w:ascii="Arial"/>
                            <w:b/>
                            <w:sz w:val="24"/>
                          </w:rPr>
                        </w:pPr>
                        <w:r>
                          <w:rPr>
                            <w:rFonts w:ascii="Arial"/>
                            <w:b/>
                            <w:color w:val="FFFFFF"/>
                            <w:sz w:val="24"/>
                          </w:rPr>
                          <w:t>Households that are ONLY Children</w:t>
                        </w:r>
                      </w:p>
                    </w:tc>
                  </w:tr>
                  <w:tr>
                    <w:trPr>
                      <w:trHeight w:val="546" w:hRule="atLeast"/>
                    </w:trPr>
                    <w:tc>
                      <w:tcPr>
                        <w:tcW w:w="4437" w:type="dxa"/>
                      </w:tcPr>
                      <w:p>
                        <w:pPr>
                          <w:pStyle w:val="TableParagraph"/>
                          <w:spacing w:line="276" w:lineRule="exact" w:before="2"/>
                          <w:ind w:left="112" w:right="408" w:firstLine="66"/>
                          <w:rPr>
                            <w:rFonts w:ascii="Arial"/>
                            <w:sz w:val="24"/>
                          </w:rPr>
                        </w:pPr>
                        <w:r>
                          <w:rPr>
                            <w:rFonts w:ascii="Arial"/>
                            <w:sz w:val="24"/>
                          </w:rPr>
                          <w:t>Total number of children (under age 18)</w:t>
                        </w:r>
                      </w:p>
                    </w:tc>
                    <w:tc>
                      <w:tcPr>
                        <w:tcW w:w="750" w:type="dxa"/>
                      </w:tcPr>
                      <w:p>
                        <w:pPr>
                          <w:pStyle w:val="TableParagraph"/>
                          <w:spacing w:before="4"/>
                          <w:rPr>
                            <w:b/>
                            <w:sz w:val="22"/>
                          </w:rPr>
                        </w:pPr>
                      </w:p>
                      <w:p>
                        <w:pPr>
                          <w:pStyle w:val="TableParagraph"/>
                          <w:spacing w:line="253" w:lineRule="exact" w:before="1"/>
                          <w:ind w:left="10"/>
                          <w:jc w:val="center"/>
                          <w:rPr>
                            <w:rFonts w:ascii="Arial"/>
                            <w:sz w:val="24"/>
                          </w:rPr>
                        </w:pPr>
                        <w:r>
                          <w:rPr>
                            <w:rFonts w:ascii="Arial"/>
                            <w:sz w:val="24"/>
                          </w:rPr>
                          <w:t>4</w:t>
                        </w:r>
                      </w:p>
                    </w:tc>
                    <w:tc>
                      <w:tcPr>
                        <w:tcW w:w="750" w:type="dxa"/>
                      </w:tcPr>
                      <w:p>
                        <w:pPr>
                          <w:pStyle w:val="TableParagraph"/>
                          <w:spacing w:line="273" w:lineRule="exact"/>
                          <w:ind w:left="10"/>
                          <w:jc w:val="center"/>
                          <w:rPr>
                            <w:rFonts w:ascii="Arial"/>
                            <w:sz w:val="24"/>
                          </w:rPr>
                        </w:pPr>
                        <w:r>
                          <w:rPr>
                            <w:rFonts w:ascii="Arial"/>
                            <w:sz w:val="24"/>
                          </w:rPr>
                          <w:t>3</w:t>
                        </w:r>
                      </w:p>
                    </w:tc>
                    <w:tc>
                      <w:tcPr>
                        <w:tcW w:w="1438" w:type="dxa"/>
                      </w:tcPr>
                      <w:p>
                        <w:pPr>
                          <w:pStyle w:val="TableParagraph"/>
                          <w:spacing w:line="273" w:lineRule="exact"/>
                          <w:ind w:left="116" w:right="106"/>
                          <w:jc w:val="center"/>
                          <w:rPr>
                            <w:rFonts w:ascii="Arial"/>
                            <w:sz w:val="24"/>
                          </w:rPr>
                        </w:pPr>
                        <w:r>
                          <w:rPr>
                            <w:rFonts w:ascii="Arial"/>
                            <w:sz w:val="24"/>
                          </w:rPr>
                          <w:t>-25%</w:t>
                        </w:r>
                      </w:p>
                    </w:tc>
                  </w:tr>
                  <w:tr>
                    <w:trPr>
                      <w:trHeight w:val="278" w:hRule="atLeast"/>
                    </w:trPr>
                    <w:tc>
                      <w:tcPr>
                        <w:tcW w:w="5187" w:type="dxa"/>
                        <w:gridSpan w:val="2"/>
                        <w:shd w:val="clear" w:color="auto" w:fill="D9E1F1"/>
                      </w:tcPr>
                      <w:p>
                        <w:pPr>
                          <w:pStyle w:val="TableParagraph"/>
                          <w:spacing w:line="253" w:lineRule="exact" w:before="4"/>
                          <w:ind w:left="592"/>
                          <w:rPr>
                            <w:rFonts w:ascii="Arial"/>
                            <w:sz w:val="24"/>
                          </w:rPr>
                        </w:pPr>
                        <w:r>
                          <w:rPr>
                            <w:rFonts w:ascii="Arial"/>
                            <w:sz w:val="24"/>
                          </w:rPr>
                          <w:t>Chronically Homeless</w:t>
                        </w:r>
                      </w:p>
                    </w:tc>
                    <w:tc>
                      <w:tcPr>
                        <w:tcW w:w="750" w:type="dxa"/>
                        <w:shd w:val="clear" w:color="auto" w:fill="D9E1F1"/>
                      </w:tcPr>
                      <w:p>
                        <w:pPr>
                          <w:pStyle w:val="TableParagraph"/>
                          <w:rPr>
                            <w:rFonts w:ascii="Times New Roman"/>
                            <w:sz w:val="20"/>
                          </w:rPr>
                        </w:pPr>
                      </w:p>
                    </w:tc>
                    <w:tc>
                      <w:tcPr>
                        <w:tcW w:w="1438" w:type="dxa"/>
                        <w:shd w:val="clear" w:color="auto" w:fill="D9E1F1"/>
                      </w:tcPr>
                      <w:p>
                        <w:pPr>
                          <w:pStyle w:val="TableParagraph"/>
                          <w:rPr>
                            <w:rFonts w:ascii="Times New Roman"/>
                            <w:sz w:val="20"/>
                          </w:rPr>
                        </w:pP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Persons</w:t>
                        </w:r>
                      </w:p>
                    </w:tc>
                    <w:tc>
                      <w:tcPr>
                        <w:tcW w:w="750" w:type="dxa"/>
                      </w:tcPr>
                      <w:p>
                        <w:pPr>
                          <w:pStyle w:val="TableParagraph"/>
                          <w:spacing w:line="253" w:lineRule="exact" w:before="11"/>
                          <w:ind w:left="10"/>
                          <w:jc w:val="center"/>
                          <w:rPr>
                            <w:rFonts w:ascii="Arial"/>
                            <w:sz w:val="24"/>
                          </w:rPr>
                        </w:pPr>
                        <w:r>
                          <w:rPr>
                            <w:rFonts w:ascii="Arial"/>
                            <w:sz w:val="24"/>
                          </w:rPr>
                          <w:t>0</w:t>
                        </w:r>
                      </w:p>
                    </w:tc>
                    <w:tc>
                      <w:tcPr>
                        <w:tcW w:w="750" w:type="dxa"/>
                      </w:tcPr>
                      <w:p>
                        <w:pPr>
                          <w:pStyle w:val="TableParagraph"/>
                          <w:spacing w:line="265" w:lineRule="exact"/>
                          <w:ind w:left="10"/>
                          <w:jc w:val="center"/>
                          <w:rPr>
                            <w:rFonts w:ascii="Arial"/>
                            <w:sz w:val="24"/>
                          </w:rPr>
                        </w:pPr>
                        <w:r>
                          <w:rPr>
                            <w:rFonts w:ascii="Arial"/>
                            <w:sz w:val="24"/>
                          </w:rPr>
                          <w:t>3</w:t>
                        </w:r>
                      </w:p>
                    </w:tc>
                    <w:tc>
                      <w:tcPr>
                        <w:tcW w:w="1438" w:type="dxa"/>
                      </w:tcPr>
                      <w:p>
                        <w:pPr>
                          <w:pStyle w:val="TableParagraph"/>
                          <w:spacing w:line="265" w:lineRule="exact"/>
                          <w:ind w:left="116" w:right="106"/>
                          <w:jc w:val="center"/>
                          <w:rPr>
                            <w:rFonts w:ascii="Arial"/>
                            <w:sz w:val="24"/>
                          </w:rPr>
                        </w:pPr>
                        <w:r>
                          <w:rPr>
                            <w:rFonts w:ascii="Arial"/>
                            <w:sz w:val="24"/>
                          </w:rPr>
                          <w:t>+300%</w:t>
                        </w:r>
                      </w:p>
                    </w:tc>
                  </w:tr>
                  <w:tr>
                    <w:trPr>
                      <w:trHeight w:val="285" w:hRule="atLeast"/>
                    </w:trPr>
                    <w:tc>
                      <w:tcPr>
                        <w:tcW w:w="7375" w:type="dxa"/>
                        <w:gridSpan w:val="4"/>
                        <w:shd w:val="clear" w:color="auto" w:fill="2F5395"/>
                      </w:tcPr>
                      <w:p>
                        <w:pPr>
                          <w:pStyle w:val="TableParagraph"/>
                          <w:spacing w:line="253" w:lineRule="exact" w:before="11"/>
                          <w:ind w:left="1731"/>
                          <w:rPr>
                            <w:rFonts w:ascii="Arial"/>
                            <w:b/>
                            <w:sz w:val="24"/>
                          </w:rPr>
                        </w:pPr>
                        <w:r>
                          <w:rPr>
                            <w:rFonts w:ascii="Arial"/>
                            <w:b/>
                            <w:color w:val="FFFFFF"/>
                            <w:sz w:val="24"/>
                          </w:rPr>
                          <w:t>Veteran Households with Children</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households</w:t>
                        </w:r>
                      </w:p>
                    </w:tc>
                    <w:tc>
                      <w:tcPr>
                        <w:tcW w:w="750" w:type="dxa"/>
                      </w:tcPr>
                      <w:p>
                        <w:pPr>
                          <w:pStyle w:val="TableParagraph"/>
                          <w:spacing w:line="253" w:lineRule="exact" w:before="11"/>
                          <w:ind w:left="10"/>
                          <w:jc w:val="center"/>
                          <w:rPr>
                            <w:rFonts w:ascii="Arial"/>
                            <w:sz w:val="24"/>
                          </w:rPr>
                        </w:pPr>
                        <w:r>
                          <w:rPr>
                            <w:rFonts w:ascii="Arial"/>
                            <w:sz w:val="24"/>
                          </w:rPr>
                          <w:t>1</w:t>
                        </w:r>
                      </w:p>
                    </w:tc>
                    <w:tc>
                      <w:tcPr>
                        <w:tcW w:w="750" w:type="dxa"/>
                      </w:tcPr>
                      <w:p>
                        <w:pPr>
                          <w:pStyle w:val="TableParagraph"/>
                          <w:spacing w:line="265" w:lineRule="exact"/>
                          <w:ind w:left="10"/>
                          <w:jc w:val="center"/>
                          <w:rPr>
                            <w:rFonts w:ascii="Arial"/>
                            <w:sz w:val="24"/>
                          </w:rPr>
                        </w:pPr>
                        <w:r>
                          <w:rPr>
                            <w:rFonts w:ascii="Arial"/>
                            <w:sz w:val="24"/>
                          </w:rPr>
                          <w:t>2</w:t>
                        </w:r>
                      </w:p>
                    </w:tc>
                    <w:tc>
                      <w:tcPr>
                        <w:tcW w:w="1438" w:type="dxa"/>
                      </w:tcPr>
                      <w:p>
                        <w:pPr>
                          <w:pStyle w:val="TableParagraph"/>
                          <w:spacing w:line="265" w:lineRule="exact"/>
                          <w:ind w:left="116" w:right="106"/>
                          <w:jc w:val="center"/>
                          <w:rPr>
                            <w:rFonts w:ascii="Arial"/>
                            <w:sz w:val="24"/>
                          </w:rPr>
                        </w:pPr>
                        <w:r>
                          <w:rPr>
                            <w:rFonts w:ascii="Arial"/>
                            <w:sz w:val="24"/>
                          </w:rPr>
                          <w:t>+50%</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Number of persons</w:t>
                        </w:r>
                      </w:p>
                    </w:tc>
                    <w:tc>
                      <w:tcPr>
                        <w:tcW w:w="750" w:type="dxa"/>
                      </w:tcPr>
                      <w:p>
                        <w:pPr>
                          <w:pStyle w:val="TableParagraph"/>
                          <w:spacing w:line="253" w:lineRule="exact" w:before="11"/>
                          <w:ind w:left="10"/>
                          <w:jc w:val="center"/>
                          <w:rPr>
                            <w:rFonts w:ascii="Arial"/>
                            <w:sz w:val="24"/>
                          </w:rPr>
                        </w:pPr>
                        <w:r>
                          <w:rPr>
                            <w:rFonts w:ascii="Arial"/>
                            <w:sz w:val="24"/>
                          </w:rPr>
                          <w:t>3</w:t>
                        </w:r>
                      </w:p>
                    </w:tc>
                    <w:tc>
                      <w:tcPr>
                        <w:tcW w:w="750" w:type="dxa"/>
                      </w:tcPr>
                      <w:p>
                        <w:pPr>
                          <w:pStyle w:val="TableParagraph"/>
                          <w:spacing w:line="265" w:lineRule="exact"/>
                          <w:ind w:left="10"/>
                          <w:jc w:val="center"/>
                          <w:rPr>
                            <w:rFonts w:ascii="Arial"/>
                            <w:sz w:val="24"/>
                          </w:rPr>
                        </w:pPr>
                        <w:r>
                          <w:rPr>
                            <w:rFonts w:ascii="Arial"/>
                            <w:sz w:val="24"/>
                          </w:rPr>
                          <w:t>8</w:t>
                        </w:r>
                      </w:p>
                    </w:tc>
                    <w:tc>
                      <w:tcPr>
                        <w:tcW w:w="1438" w:type="dxa"/>
                      </w:tcPr>
                      <w:p>
                        <w:pPr>
                          <w:pStyle w:val="TableParagraph"/>
                          <w:spacing w:line="265" w:lineRule="exact"/>
                          <w:ind w:left="116" w:right="106"/>
                          <w:jc w:val="center"/>
                          <w:rPr>
                            <w:rFonts w:ascii="Arial"/>
                            <w:sz w:val="24"/>
                          </w:rPr>
                        </w:pPr>
                        <w:r>
                          <w:rPr>
                            <w:rFonts w:ascii="Arial"/>
                            <w:sz w:val="24"/>
                          </w:rPr>
                          <w:t>+166.67%</w:t>
                        </w:r>
                      </w:p>
                    </w:tc>
                  </w:tr>
                  <w:tr>
                    <w:trPr>
                      <w:trHeight w:val="285" w:hRule="atLeast"/>
                    </w:trPr>
                    <w:tc>
                      <w:tcPr>
                        <w:tcW w:w="5187" w:type="dxa"/>
                        <w:gridSpan w:val="2"/>
                        <w:shd w:val="clear" w:color="auto" w:fill="D9E1F1"/>
                      </w:tcPr>
                      <w:p>
                        <w:pPr>
                          <w:pStyle w:val="TableParagraph"/>
                          <w:spacing w:line="253" w:lineRule="exact" w:before="11"/>
                          <w:ind w:left="592"/>
                          <w:rPr>
                            <w:rFonts w:ascii="Arial"/>
                            <w:sz w:val="24"/>
                          </w:rPr>
                        </w:pPr>
                        <w:r>
                          <w:rPr>
                            <w:rFonts w:ascii="Arial"/>
                            <w:sz w:val="24"/>
                          </w:rPr>
                          <w:t>Chronically Homeless</w:t>
                        </w:r>
                      </w:p>
                    </w:tc>
                    <w:tc>
                      <w:tcPr>
                        <w:tcW w:w="750" w:type="dxa"/>
                        <w:shd w:val="clear" w:color="auto" w:fill="D9E1F1"/>
                      </w:tcPr>
                      <w:p>
                        <w:pPr>
                          <w:pStyle w:val="TableParagraph"/>
                          <w:rPr>
                            <w:rFonts w:ascii="Times New Roman"/>
                            <w:sz w:val="20"/>
                          </w:rPr>
                        </w:pPr>
                      </w:p>
                    </w:tc>
                    <w:tc>
                      <w:tcPr>
                        <w:tcW w:w="1438" w:type="dxa"/>
                        <w:shd w:val="clear" w:color="auto" w:fill="D9E1F1"/>
                      </w:tcPr>
                      <w:p>
                        <w:pPr>
                          <w:pStyle w:val="TableParagraph"/>
                          <w:rPr>
                            <w:rFonts w:ascii="Times New Roman"/>
                            <w:sz w:val="20"/>
                          </w:rPr>
                        </w:pP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households</w:t>
                        </w:r>
                      </w:p>
                    </w:tc>
                    <w:tc>
                      <w:tcPr>
                        <w:tcW w:w="750" w:type="dxa"/>
                      </w:tcPr>
                      <w:p>
                        <w:pPr>
                          <w:pStyle w:val="TableParagraph"/>
                          <w:spacing w:line="253" w:lineRule="exact" w:before="11"/>
                          <w:ind w:left="10"/>
                          <w:jc w:val="center"/>
                          <w:rPr>
                            <w:rFonts w:ascii="Arial"/>
                            <w:sz w:val="24"/>
                          </w:rPr>
                        </w:pPr>
                        <w:r>
                          <w:rPr>
                            <w:rFonts w:ascii="Arial"/>
                            <w:sz w:val="24"/>
                          </w:rPr>
                          <w:t>0</w:t>
                        </w:r>
                      </w:p>
                    </w:tc>
                    <w:tc>
                      <w:tcPr>
                        <w:tcW w:w="750" w:type="dxa"/>
                      </w:tcPr>
                      <w:p>
                        <w:pPr>
                          <w:pStyle w:val="TableParagraph"/>
                          <w:spacing w:line="265" w:lineRule="exact"/>
                          <w:ind w:left="10"/>
                          <w:jc w:val="center"/>
                          <w:rPr>
                            <w:rFonts w:ascii="Arial"/>
                            <w:sz w:val="24"/>
                          </w:rPr>
                        </w:pPr>
                        <w:r>
                          <w:rPr>
                            <w:rFonts w:ascii="Arial"/>
                            <w:sz w:val="24"/>
                          </w:rPr>
                          <w:t>0</w:t>
                        </w:r>
                      </w:p>
                    </w:tc>
                    <w:tc>
                      <w:tcPr>
                        <w:tcW w:w="1438" w:type="dxa"/>
                      </w:tcPr>
                      <w:p>
                        <w:pPr>
                          <w:pStyle w:val="TableParagraph"/>
                          <w:spacing w:line="265" w:lineRule="exact"/>
                          <w:ind w:left="10"/>
                          <w:jc w:val="center"/>
                          <w:rPr>
                            <w:rFonts w:ascii="Arial"/>
                            <w:sz w:val="24"/>
                          </w:rPr>
                        </w:pPr>
                        <w:r>
                          <w:rPr>
                            <w:rFonts w:ascii="Arial"/>
                            <w:sz w:val="24"/>
                          </w:rPr>
                          <w:t>0</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Number of persons</w:t>
                        </w:r>
                      </w:p>
                    </w:tc>
                    <w:tc>
                      <w:tcPr>
                        <w:tcW w:w="750" w:type="dxa"/>
                      </w:tcPr>
                      <w:p>
                        <w:pPr>
                          <w:pStyle w:val="TableParagraph"/>
                          <w:spacing w:line="253" w:lineRule="exact" w:before="11"/>
                          <w:ind w:left="10"/>
                          <w:jc w:val="center"/>
                          <w:rPr>
                            <w:rFonts w:ascii="Arial"/>
                            <w:sz w:val="24"/>
                          </w:rPr>
                        </w:pPr>
                        <w:r>
                          <w:rPr>
                            <w:rFonts w:ascii="Arial"/>
                            <w:sz w:val="24"/>
                          </w:rPr>
                          <w:t>0</w:t>
                        </w:r>
                      </w:p>
                    </w:tc>
                    <w:tc>
                      <w:tcPr>
                        <w:tcW w:w="750" w:type="dxa"/>
                      </w:tcPr>
                      <w:p>
                        <w:pPr>
                          <w:pStyle w:val="TableParagraph"/>
                          <w:spacing w:line="265" w:lineRule="exact"/>
                          <w:ind w:left="10"/>
                          <w:jc w:val="center"/>
                          <w:rPr>
                            <w:rFonts w:ascii="Arial"/>
                            <w:sz w:val="24"/>
                          </w:rPr>
                        </w:pPr>
                        <w:r>
                          <w:rPr>
                            <w:rFonts w:ascii="Arial"/>
                            <w:sz w:val="24"/>
                          </w:rPr>
                          <w:t>0</w:t>
                        </w:r>
                      </w:p>
                    </w:tc>
                    <w:tc>
                      <w:tcPr>
                        <w:tcW w:w="1438" w:type="dxa"/>
                      </w:tcPr>
                      <w:p>
                        <w:pPr>
                          <w:pStyle w:val="TableParagraph"/>
                          <w:spacing w:line="265" w:lineRule="exact"/>
                          <w:ind w:left="10"/>
                          <w:jc w:val="center"/>
                          <w:rPr>
                            <w:rFonts w:ascii="Arial"/>
                            <w:sz w:val="24"/>
                          </w:rPr>
                        </w:pPr>
                        <w:r>
                          <w:rPr>
                            <w:rFonts w:ascii="Arial"/>
                            <w:sz w:val="24"/>
                          </w:rPr>
                          <w:t>0</w:t>
                        </w:r>
                      </w:p>
                    </w:tc>
                  </w:tr>
                  <w:tr>
                    <w:trPr>
                      <w:trHeight w:val="285" w:hRule="atLeast"/>
                    </w:trPr>
                    <w:tc>
                      <w:tcPr>
                        <w:tcW w:w="7375" w:type="dxa"/>
                        <w:gridSpan w:val="4"/>
                        <w:shd w:val="clear" w:color="auto" w:fill="2F5395"/>
                      </w:tcPr>
                      <w:p>
                        <w:pPr>
                          <w:pStyle w:val="TableParagraph"/>
                          <w:spacing w:line="253" w:lineRule="exact" w:before="11"/>
                          <w:ind w:left="1524" w:right="1514"/>
                          <w:jc w:val="center"/>
                          <w:rPr>
                            <w:rFonts w:ascii="Arial"/>
                            <w:b/>
                            <w:sz w:val="24"/>
                          </w:rPr>
                        </w:pPr>
                        <w:r>
                          <w:rPr>
                            <w:rFonts w:ascii="Arial"/>
                            <w:b/>
                            <w:color w:val="FFFFFF"/>
                            <w:sz w:val="24"/>
                          </w:rPr>
                          <w:t>Veteran Households without Children</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households</w:t>
                        </w:r>
                      </w:p>
                    </w:tc>
                    <w:tc>
                      <w:tcPr>
                        <w:tcW w:w="750" w:type="dxa"/>
                      </w:tcPr>
                      <w:p>
                        <w:pPr>
                          <w:pStyle w:val="TableParagraph"/>
                          <w:spacing w:line="253" w:lineRule="exact" w:before="11"/>
                          <w:ind w:left="239"/>
                          <w:rPr>
                            <w:rFonts w:ascii="Arial"/>
                            <w:sz w:val="24"/>
                          </w:rPr>
                        </w:pPr>
                        <w:r>
                          <w:rPr>
                            <w:rFonts w:ascii="Arial"/>
                            <w:sz w:val="24"/>
                          </w:rPr>
                          <w:t>13</w:t>
                        </w:r>
                      </w:p>
                    </w:tc>
                    <w:tc>
                      <w:tcPr>
                        <w:tcW w:w="750" w:type="dxa"/>
                      </w:tcPr>
                      <w:p>
                        <w:pPr>
                          <w:pStyle w:val="TableParagraph"/>
                          <w:spacing w:line="265" w:lineRule="exact"/>
                          <w:ind w:left="152" w:right="142"/>
                          <w:jc w:val="center"/>
                          <w:rPr>
                            <w:rFonts w:ascii="Arial"/>
                            <w:sz w:val="24"/>
                          </w:rPr>
                        </w:pPr>
                        <w:r>
                          <w:rPr>
                            <w:rFonts w:ascii="Arial"/>
                            <w:sz w:val="24"/>
                          </w:rPr>
                          <w:t>11</w:t>
                        </w:r>
                      </w:p>
                    </w:tc>
                    <w:tc>
                      <w:tcPr>
                        <w:tcW w:w="1438" w:type="dxa"/>
                      </w:tcPr>
                      <w:p>
                        <w:pPr>
                          <w:pStyle w:val="TableParagraph"/>
                          <w:spacing w:line="265" w:lineRule="exact"/>
                          <w:ind w:left="116" w:right="106"/>
                          <w:jc w:val="center"/>
                          <w:rPr>
                            <w:rFonts w:ascii="Arial"/>
                            <w:sz w:val="24"/>
                          </w:rPr>
                        </w:pPr>
                        <w:r>
                          <w:rPr>
                            <w:rFonts w:ascii="Arial"/>
                            <w:sz w:val="24"/>
                          </w:rPr>
                          <w:t>-15.38%</w:t>
                        </w: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Number of persons</w:t>
                        </w:r>
                      </w:p>
                    </w:tc>
                    <w:tc>
                      <w:tcPr>
                        <w:tcW w:w="750" w:type="dxa"/>
                      </w:tcPr>
                      <w:p>
                        <w:pPr>
                          <w:pStyle w:val="TableParagraph"/>
                          <w:spacing w:line="253" w:lineRule="exact" w:before="11"/>
                          <w:ind w:left="239"/>
                          <w:rPr>
                            <w:rFonts w:ascii="Arial"/>
                            <w:sz w:val="24"/>
                          </w:rPr>
                        </w:pPr>
                        <w:r>
                          <w:rPr>
                            <w:rFonts w:ascii="Arial"/>
                            <w:sz w:val="24"/>
                          </w:rPr>
                          <w:t>13</w:t>
                        </w:r>
                      </w:p>
                    </w:tc>
                    <w:tc>
                      <w:tcPr>
                        <w:tcW w:w="750" w:type="dxa"/>
                      </w:tcPr>
                      <w:p>
                        <w:pPr>
                          <w:pStyle w:val="TableParagraph"/>
                          <w:spacing w:line="265" w:lineRule="exact"/>
                          <w:ind w:left="152" w:right="142"/>
                          <w:jc w:val="center"/>
                          <w:rPr>
                            <w:rFonts w:ascii="Arial"/>
                            <w:sz w:val="24"/>
                          </w:rPr>
                        </w:pPr>
                        <w:r>
                          <w:rPr>
                            <w:rFonts w:ascii="Arial"/>
                            <w:sz w:val="24"/>
                          </w:rPr>
                          <w:t>12</w:t>
                        </w:r>
                      </w:p>
                    </w:tc>
                    <w:tc>
                      <w:tcPr>
                        <w:tcW w:w="1438" w:type="dxa"/>
                      </w:tcPr>
                      <w:p>
                        <w:pPr>
                          <w:pStyle w:val="TableParagraph"/>
                          <w:spacing w:line="265" w:lineRule="exact"/>
                          <w:ind w:left="116" w:right="106"/>
                          <w:jc w:val="center"/>
                          <w:rPr>
                            <w:rFonts w:ascii="Arial"/>
                            <w:sz w:val="24"/>
                          </w:rPr>
                        </w:pPr>
                        <w:r>
                          <w:rPr>
                            <w:rFonts w:ascii="Arial"/>
                            <w:sz w:val="24"/>
                          </w:rPr>
                          <w:t>-7.69%</w:t>
                        </w:r>
                      </w:p>
                    </w:tc>
                  </w:tr>
                  <w:tr>
                    <w:trPr>
                      <w:trHeight w:val="285" w:hRule="atLeast"/>
                    </w:trPr>
                    <w:tc>
                      <w:tcPr>
                        <w:tcW w:w="5187" w:type="dxa"/>
                        <w:gridSpan w:val="2"/>
                        <w:shd w:val="clear" w:color="auto" w:fill="D9E1F1"/>
                      </w:tcPr>
                      <w:p>
                        <w:pPr>
                          <w:pStyle w:val="TableParagraph"/>
                          <w:spacing w:line="253" w:lineRule="exact" w:before="11"/>
                          <w:ind w:left="592"/>
                          <w:rPr>
                            <w:rFonts w:ascii="Arial"/>
                            <w:sz w:val="24"/>
                          </w:rPr>
                        </w:pPr>
                        <w:r>
                          <w:rPr>
                            <w:rFonts w:ascii="Arial"/>
                            <w:sz w:val="24"/>
                          </w:rPr>
                          <w:t>Chronically Homeless</w:t>
                        </w:r>
                      </w:p>
                    </w:tc>
                    <w:tc>
                      <w:tcPr>
                        <w:tcW w:w="750" w:type="dxa"/>
                        <w:shd w:val="clear" w:color="auto" w:fill="D9E1F1"/>
                      </w:tcPr>
                      <w:p>
                        <w:pPr>
                          <w:pStyle w:val="TableParagraph"/>
                          <w:rPr>
                            <w:rFonts w:ascii="Times New Roman"/>
                            <w:sz w:val="20"/>
                          </w:rPr>
                        </w:pPr>
                      </w:p>
                    </w:tc>
                    <w:tc>
                      <w:tcPr>
                        <w:tcW w:w="1438" w:type="dxa"/>
                        <w:shd w:val="clear" w:color="auto" w:fill="D9E1F1"/>
                      </w:tcPr>
                      <w:p>
                        <w:pPr>
                          <w:pStyle w:val="TableParagraph"/>
                          <w:rPr>
                            <w:rFonts w:ascii="Times New Roman"/>
                            <w:sz w:val="20"/>
                          </w:rPr>
                        </w:pPr>
                      </w:p>
                    </w:tc>
                  </w:tr>
                  <w:tr>
                    <w:trPr>
                      <w:trHeight w:val="285" w:hRule="atLeast"/>
                    </w:trPr>
                    <w:tc>
                      <w:tcPr>
                        <w:tcW w:w="4437" w:type="dxa"/>
                      </w:tcPr>
                      <w:p>
                        <w:pPr>
                          <w:pStyle w:val="TableParagraph"/>
                          <w:spacing w:line="253" w:lineRule="exact" w:before="11"/>
                          <w:ind w:left="112"/>
                          <w:rPr>
                            <w:rFonts w:ascii="Arial"/>
                            <w:sz w:val="24"/>
                          </w:rPr>
                        </w:pPr>
                        <w:r>
                          <w:rPr>
                            <w:rFonts w:ascii="Arial"/>
                            <w:sz w:val="24"/>
                          </w:rPr>
                          <w:t>Total Number of Persons</w:t>
                        </w:r>
                      </w:p>
                    </w:tc>
                    <w:tc>
                      <w:tcPr>
                        <w:tcW w:w="750" w:type="dxa"/>
                      </w:tcPr>
                      <w:p>
                        <w:pPr>
                          <w:pStyle w:val="TableParagraph"/>
                          <w:spacing w:line="253" w:lineRule="exact" w:before="11"/>
                          <w:ind w:left="10"/>
                          <w:jc w:val="center"/>
                          <w:rPr>
                            <w:rFonts w:ascii="Arial"/>
                            <w:sz w:val="24"/>
                          </w:rPr>
                        </w:pPr>
                        <w:r>
                          <w:rPr>
                            <w:rFonts w:ascii="Arial"/>
                            <w:sz w:val="24"/>
                          </w:rPr>
                          <w:t>4</w:t>
                        </w:r>
                      </w:p>
                    </w:tc>
                    <w:tc>
                      <w:tcPr>
                        <w:tcW w:w="750" w:type="dxa"/>
                      </w:tcPr>
                      <w:p>
                        <w:pPr>
                          <w:pStyle w:val="TableParagraph"/>
                          <w:spacing w:line="265" w:lineRule="exact"/>
                          <w:ind w:left="10"/>
                          <w:jc w:val="center"/>
                          <w:rPr>
                            <w:rFonts w:ascii="Arial"/>
                            <w:sz w:val="24"/>
                          </w:rPr>
                        </w:pPr>
                        <w:r>
                          <w:rPr>
                            <w:rFonts w:ascii="Arial"/>
                            <w:sz w:val="24"/>
                          </w:rPr>
                          <w:t>2</w:t>
                        </w:r>
                      </w:p>
                    </w:tc>
                    <w:tc>
                      <w:tcPr>
                        <w:tcW w:w="1438" w:type="dxa"/>
                      </w:tcPr>
                      <w:p>
                        <w:pPr>
                          <w:pStyle w:val="TableParagraph"/>
                          <w:spacing w:line="265" w:lineRule="exact"/>
                          <w:ind w:left="116" w:right="106"/>
                          <w:jc w:val="center"/>
                          <w:rPr>
                            <w:rFonts w:ascii="Arial"/>
                            <w:sz w:val="24"/>
                          </w:rPr>
                        </w:pPr>
                        <w:r>
                          <w:rPr>
                            <w:rFonts w:ascii="Arial"/>
                            <w:sz w:val="24"/>
                          </w:rPr>
                          <w:t>-50%</w:t>
                        </w:r>
                      </w:p>
                    </w:tc>
                  </w:tr>
                </w:tbl>
                <w:p>
                  <w:pPr>
                    <w:pStyle w:val="BodyText"/>
                  </w:pPr>
                </w:p>
              </w:txbxContent>
            </v:textbox>
            <w10:wrap type="none"/>
          </v:shape>
        </w:pict>
      </w:r>
      <w:r>
        <w:rPr>
          <w:color w:val="0E4661"/>
        </w:rPr>
        <w:t>NA-40 Homeless Needs Assessment – 91.205(c)</w:t>
      </w:r>
    </w:p>
    <w:p>
      <w:pPr>
        <w:pStyle w:val="Heading4"/>
        <w:spacing w:before="993"/>
        <w:ind w:left="120"/>
      </w:pPr>
      <w:r>
        <w:rPr>
          <w:b w:val="0"/>
        </w:rPr>
        <w:br w:type="column"/>
      </w:r>
      <w:r>
        <w:rPr/>
        <w:t>Introduction:</w:t>
      </w:r>
    </w:p>
    <w:p>
      <w:pPr>
        <w:spacing w:after="0"/>
        <w:sectPr>
          <w:headerReference w:type="default" r:id="rId15"/>
          <w:footerReference w:type="default" r:id="rId16"/>
          <w:pgSz w:w="15840" w:h="12240" w:orient="landscape"/>
          <w:pgMar w:header="769" w:footer="1072" w:top="1140" w:bottom="1260" w:left="1320" w:right="1320"/>
          <w:pgNumType w:start="50"/>
          <w:cols w:num="2" w:equalWidth="0">
            <w:col w:w="6431" w:space="1124"/>
            <w:col w:w="5645"/>
          </w:cols>
        </w:sectPr>
      </w:pPr>
    </w:p>
    <w:p>
      <w:pPr>
        <w:pStyle w:val="BodyText"/>
        <w:spacing w:before="8"/>
        <w:rPr>
          <w:b/>
          <w:sz w:val="20"/>
        </w:rPr>
      </w:pPr>
    </w:p>
    <w:p>
      <w:pPr>
        <w:spacing w:line="276" w:lineRule="auto" w:before="52"/>
        <w:ind w:left="120" w:right="275" w:firstLine="0"/>
        <w:jc w:val="left"/>
        <w:rPr>
          <w:b/>
          <w:sz w:val="24"/>
        </w:rPr>
      </w:pPr>
      <w:r>
        <w:rPr>
          <w:b/>
          <w:sz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pPr>
        <w:pStyle w:val="BodyText"/>
        <w:spacing w:line="276" w:lineRule="auto" w:before="200"/>
        <w:ind w:left="120" w:right="156"/>
      </w:pPr>
      <w:r>
        <w:rPr/>
        <w:t>A point in time count of homeless persons in Monroe County conducted in 2024 found that a total of 246 households made up of 350 people were unhoused. A survey of unsheltered populations conducted by the South Central Housing Network conducted in May 2024 identified 249 heads of households in Monroe County experiencing homelessness. Of those surveyed, 23 reported sleeping in transitional housing, 109 reported sleeping in shelter, and 117 reported sleeping outdoors (including sleeping in vehicles). The table above reports a general decrease in the number of chronically homeless households without children since 2019, but an increase in the number of Veteran households with </w:t>
      </w:r>
      <w:r>
        <w:rPr>
          <w:spacing w:val="-3"/>
        </w:rPr>
        <w:t>children </w:t>
      </w:r>
      <w:r>
        <w:rPr/>
        <w:t>experiencing homelessness. Non-Veteran households with children experiencing homelessness have also increased since 2019.</w:t>
      </w:r>
    </w:p>
    <w:p>
      <w:pPr>
        <w:spacing w:after="0" w:line="276" w:lineRule="auto"/>
        <w:sectPr>
          <w:pgSz w:w="15840" w:h="12240" w:orient="landscape"/>
          <w:pgMar w:header="769" w:footer="1072" w:top="1140" w:bottom="1260" w:left="1320" w:right="1320"/>
        </w:sectPr>
      </w:pPr>
    </w:p>
    <w:p>
      <w:pPr>
        <w:pStyle w:val="BodyText"/>
        <w:spacing w:before="8"/>
        <w:rPr>
          <w:sz w:val="20"/>
        </w:rPr>
      </w:pPr>
    </w:p>
    <w:p>
      <w:pPr>
        <w:pStyle w:val="Heading4"/>
        <w:spacing w:before="52"/>
        <w:ind w:left="120"/>
      </w:pPr>
      <w:r>
        <w:rPr/>
        <w:t>Nature and Extent of Homelessness: (Optional)</w:t>
      </w:r>
    </w:p>
    <w:p>
      <w:pPr>
        <w:pStyle w:val="BodyText"/>
        <w:spacing w:before="7" w:after="1"/>
        <w:rPr>
          <w:b/>
          <w:sz w:val="19"/>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30"/>
        <w:gridCol w:w="3112"/>
        <w:gridCol w:w="3193"/>
      </w:tblGrid>
      <w:tr>
        <w:trPr>
          <w:trHeight w:val="531" w:hRule="atLeast"/>
        </w:trPr>
        <w:tc>
          <w:tcPr>
            <w:tcW w:w="2930" w:type="dxa"/>
          </w:tcPr>
          <w:p>
            <w:pPr>
              <w:pStyle w:val="TableParagraph"/>
              <w:spacing w:before="2"/>
              <w:ind w:left="112"/>
              <w:rPr>
                <w:b/>
                <w:sz w:val="24"/>
              </w:rPr>
            </w:pPr>
            <w:r>
              <w:rPr>
                <w:b/>
                <w:sz w:val="24"/>
              </w:rPr>
              <w:t>Race:</w:t>
            </w:r>
          </w:p>
        </w:tc>
        <w:tc>
          <w:tcPr>
            <w:tcW w:w="3112" w:type="dxa"/>
          </w:tcPr>
          <w:p>
            <w:pPr>
              <w:pStyle w:val="TableParagraph"/>
              <w:spacing w:before="2"/>
              <w:ind w:left="112"/>
              <w:rPr>
                <w:b/>
                <w:sz w:val="24"/>
              </w:rPr>
            </w:pPr>
            <w:r>
              <w:rPr>
                <w:b/>
                <w:sz w:val="24"/>
              </w:rPr>
              <w:t>Sheltered:</w:t>
            </w:r>
          </w:p>
        </w:tc>
        <w:tc>
          <w:tcPr>
            <w:tcW w:w="3193" w:type="dxa"/>
          </w:tcPr>
          <w:p>
            <w:pPr>
              <w:pStyle w:val="TableParagraph"/>
              <w:spacing w:before="2"/>
              <w:ind w:left="112"/>
              <w:rPr>
                <w:b/>
                <w:sz w:val="24"/>
              </w:rPr>
            </w:pPr>
            <w:r>
              <w:rPr>
                <w:b/>
                <w:sz w:val="24"/>
              </w:rPr>
              <w:t>Unsheltered (optional)</w:t>
            </w:r>
          </w:p>
        </w:tc>
      </w:tr>
      <w:tr>
        <w:trPr>
          <w:trHeight w:val="531" w:hRule="atLeast"/>
        </w:trPr>
        <w:tc>
          <w:tcPr>
            <w:tcW w:w="2930" w:type="dxa"/>
          </w:tcPr>
          <w:p>
            <w:pPr>
              <w:pStyle w:val="TableParagraph"/>
              <w:spacing w:before="2"/>
              <w:ind w:left="112"/>
              <w:rPr>
                <w:b/>
                <w:sz w:val="24"/>
              </w:rPr>
            </w:pPr>
            <w:r>
              <w:rPr>
                <w:b/>
                <w:sz w:val="24"/>
              </w:rPr>
              <w:t>Ethnicity:</w:t>
            </w:r>
          </w:p>
        </w:tc>
        <w:tc>
          <w:tcPr>
            <w:tcW w:w="3112" w:type="dxa"/>
          </w:tcPr>
          <w:p>
            <w:pPr>
              <w:pStyle w:val="TableParagraph"/>
              <w:spacing w:before="2"/>
              <w:ind w:left="112"/>
              <w:rPr>
                <w:b/>
                <w:sz w:val="24"/>
              </w:rPr>
            </w:pPr>
            <w:r>
              <w:rPr>
                <w:b/>
                <w:sz w:val="24"/>
              </w:rPr>
              <w:t>Sheltered:</w:t>
            </w:r>
          </w:p>
        </w:tc>
        <w:tc>
          <w:tcPr>
            <w:tcW w:w="3193" w:type="dxa"/>
          </w:tcPr>
          <w:p>
            <w:pPr>
              <w:pStyle w:val="TableParagraph"/>
              <w:spacing w:before="2"/>
              <w:ind w:left="112"/>
              <w:rPr>
                <w:b/>
                <w:sz w:val="24"/>
              </w:rPr>
            </w:pPr>
            <w:r>
              <w:rPr>
                <w:b/>
                <w:sz w:val="24"/>
              </w:rPr>
              <w:t>Unsheltered (optional)</w:t>
            </w:r>
          </w:p>
        </w:tc>
      </w:tr>
    </w:tbl>
    <w:p>
      <w:pPr>
        <w:pStyle w:val="BodyText"/>
        <w:rPr>
          <w:b/>
          <w:sz w:val="24"/>
        </w:rPr>
      </w:pPr>
    </w:p>
    <w:p>
      <w:pPr>
        <w:pStyle w:val="BodyText"/>
        <w:rPr>
          <w:b/>
          <w:sz w:val="18"/>
        </w:rPr>
      </w:pPr>
    </w:p>
    <w:p>
      <w:pPr>
        <w:spacing w:before="0"/>
        <w:ind w:left="120" w:right="0" w:firstLine="0"/>
        <w:jc w:val="left"/>
        <w:rPr>
          <w:b/>
          <w:sz w:val="24"/>
        </w:rPr>
      </w:pPr>
      <w:r>
        <w:rPr>
          <w:b/>
          <w:sz w:val="24"/>
        </w:rPr>
        <w:t>Estimate the number and type of families in need of housing assistance for families with children and the families of veterans.</w:t>
      </w:r>
    </w:p>
    <w:p>
      <w:pPr>
        <w:pStyle w:val="BodyText"/>
        <w:rPr>
          <w:b/>
          <w:sz w:val="20"/>
        </w:rPr>
      </w:pPr>
    </w:p>
    <w:p>
      <w:pPr>
        <w:pStyle w:val="Heading5"/>
        <w:ind w:left="120" w:firstLine="0"/>
      </w:pPr>
      <w:r>
        <w:rPr/>
        <w:t>Families with children:</w:t>
      </w:r>
    </w:p>
    <w:p>
      <w:pPr>
        <w:pStyle w:val="ListParagraph"/>
        <w:numPr>
          <w:ilvl w:val="1"/>
          <w:numId w:val="7"/>
        </w:numPr>
        <w:tabs>
          <w:tab w:pos="839" w:val="left" w:leader="none"/>
          <w:tab w:pos="840" w:val="left" w:leader="none"/>
        </w:tabs>
        <w:spacing w:line="397" w:lineRule="exact" w:before="209" w:after="0"/>
        <w:ind w:left="840" w:right="0" w:hanging="360"/>
        <w:jc w:val="left"/>
        <w:rPr>
          <w:rFonts w:ascii="Arial Unicode MS" w:hAnsi="Arial Unicode MS"/>
          <w:sz w:val="24"/>
        </w:rPr>
      </w:pPr>
      <w:r>
        <w:rPr>
          <w:sz w:val="24"/>
        </w:rPr>
        <w:t>Households: 41 (regular families) + 3 (parenting youth households) = 44 households</w:t>
      </w:r>
    </w:p>
    <w:p>
      <w:pPr>
        <w:pStyle w:val="ListParagraph"/>
        <w:numPr>
          <w:ilvl w:val="1"/>
          <w:numId w:val="7"/>
        </w:numPr>
        <w:tabs>
          <w:tab w:pos="839" w:val="left" w:leader="none"/>
          <w:tab w:pos="840" w:val="left" w:leader="none"/>
        </w:tabs>
        <w:spacing w:line="397" w:lineRule="exact" w:before="0" w:after="0"/>
        <w:ind w:left="840" w:right="0" w:hanging="360"/>
        <w:jc w:val="left"/>
        <w:rPr>
          <w:rFonts w:ascii="Arial Unicode MS" w:hAnsi="Arial Unicode MS"/>
          <w:sz w:val="24"/>
        </w:rPr>
      </w:pPr>
      <w:r>
        <w:rPr>
          <w:sz w:val="24"/>
        </w:rPr>
        <w:t>Total persons in these households: 140 (regular families) + 9 (parenting youth households) = 149 persons</w:t>
      </w:r>
    </w:p>
    <w:p>
      <w:pPr>
        <w:pStyle w:val="BodyText"/>
        <w:spacing w:before="193"/>
        <w:ind w:left="120"/>
      </w:pPr>
      <w:r>
        <w:rPr/>
        <w:t>These households are likely in need of family-centered housing solutions, such as larger units that can accommodate both adults and children.</w:t>
      </w:r>
    </w:p>
    <w:p>
      <w:pPr>
        <w:pStyle w:val="BodyText"/>
        <w:spacing w:before="8"/>
        <w:rPr>
          <w:sz w:val="19"/>
        </w:rPr>
      </w:pPr>
    </w:p>
    <w:p>
      <w:pPr>
        <w:pStyle w:val="Heading5"/>
        <w:ind w:left="120" w:firstLine="0"/>
      </w:pPr>
      <w:r>
        <w:rPr/>
        <w:t>Veteran families:</w:t>
      </w:r>
    </w:p>
    <w:p>
      <w:pPr>
        <w:pStyle w:val="ListParagraph"/>
        <w:numPr>
          <w:ilvl w:val="1"/>
          <w:numId w:val="7"/>
        </w:numPr>
        <w:tabs>
          <w:tab w:pos="839" w:val="left" w:leader="none"/>
          <w:tab w:pos="840" w:val="left" w:leader="none"/>
        </w:tabs>
        <w:spacing w:line="397" w:lineRule="exact" w:before="209" w:after="0"/>
        <w:ind w:left="840" w:right="0" w:hanging="360"/>
        <w:jc w:val="left"/>
        <w:rPr>
          <w:rFonts w:ascii="Arial Unicode MS" w:hAnsi="Arial Unicode MS"/>
          <w:sz w:val="24"/>
        </w:rPr>
      </w:pPr>
      <w:r>
        <w:rPr>
          <w:sz w:val="24"/>
        </w:rPr>
        <w:t>Households: 2 (with children) + 11 (without children) = 13 veteran households</w:t>
      </w:r>
    </w:p>
    <w:p>
      <w:pPr>
        <w:pStyle w:val="ListParagraph"/>
        <w:numPr>
          <w:ilvl w:val="1"/>
          <w:numId w:val="7"/>
        </w:numPr>
        <w:tabs>
          <w:tab w:pos="839" w:val="left" w:leader="none"/>
          <w:tab w:pos="840" w:val="left" w:leader="none"/>
        </w:tabs>
        <w:spacing w:line="397" w:lineRule="exact" w:before="0" w:after="0"/>
        <w:ind w:left="840" w:right="0" w:hanging="360"/>
        <w:jc w:val="left"/>
        <w:rPr>
          <w:rFonts w:ascii="Arial Unicode MS" w:hAnsi="Arial Unicode MS"/>
          <w:sz w:val="24"/>
        </w:rPr>
      </w:pPr>
      <w:r>
        <w:rPr>
          <w:sz w:val="24"/>
        </w:rPr>
        <w:t>Total persons in these households: 8 (with children) + 12 (without children) = 20 persons</w:t>
      </w:r>
    </w:p>
    <w:p>
      <w:pPr>
        <w:pStyle w:val="BodyText"/>
        <w:spacing w:line="276" w:lineRule="auto" w:before="193"/>
        <w:ind w:left="120" w:right="365"/>
        <w:jc w:val="both"/>
      </w:pPr>
      <w:r>
        <w:rPr/>
        <w:t>These households need veteran-specific housing assistance programs, which often include services tailored to veterans’ needs, such as mental health support, substance use disorder treatment, or reintegration programs.</w:t>
      </w:r>
    </w:p>
    <w:p>
      <w:pPr>
        <w:pStyle w:val="BodyText"/>
        <w:spacing w:before="5"/>
        <w:rPr>
          <w:sz w:val="16"/>
        </w:rPr>
      </w:pPr>
    </w:p>
    <w:p>
      <w:pPr>
        <w:pStyle w:val="Heading4"/>
        <w:ind w:left="120"/>
      </w:pPr>
      <w:r>
        <w:rPr/>
        <w:t>Describe the Nature and Extent of Homelessness by Racial and Ethnic Group.</w:t>
      </w:r>
    </w:p>
    <w:p>
      <w:pPr>
        <w:pStyle w:val="BodyText"/>
        <w:spacing w:before="12"/>
        <w:rPr>
          <w:b/>
          <w:sz w:val="19"/>
        </w:rPr>
      </w:pPr>
    </w:p>
    <w:p>
      <w:pPr>
        <w:pStyle w:val="BodyText"/>
        <w:spacing w:line="276" w:lineRule="auto"/>
        <w:ind w:left="120" w:right="394"/>
        <w:jc w:val="both"/>
      </w:pPr>
      <w:r>
        <w:rPr/>
        <w:t>The data provided offers a detailed breakdown of homelessness in Monroe by racial and ethnic group. The majority of homeless families with children are White (74 persons or 52.9% of this category), followed by Black or African-American individuals (45 persons or 32.1%). There are smaller populations of Multi-Racial (10 persons), American Indian or Alaska Native (4 persons), and Hispanic/Latina/e/o individuals (1 person).</w:t>
      </w:r>
    </w:p>
    <w:p>
      <w:pPr>
        <w:pStyle w:val="BodyText"/>
        <w:spacing w:before="5"/>
        <w:rPr>
          <w:sz w:val="16"/>
        </w:rPr>
      </w:pPr>
    </w:p>
    <w:p>
      <w:pPr>
        <w:pStyle w:val="Heading4"/>
        <w:ind w:left="120"/>
      </w:pPr>
      <w:r>
        <w:rPr/>
        <w:t>Describe the Nature and Extent of Unsheltered and Sheltered Homelessness.</w:t>
      </w:r>
    </w:p>
    <w:p>
      <w:pPr>
        <w:spacing w:after="0"/>
        <w:sectPr>
          <w:headerReference w:type="default" r:id="rId17"/>
          <w:footerReference w:type="default" r:id="rId18"/>
          <w:pgSz w:w="15840" w:h="12240" w:orient="landscape"/>
          <w:pgMar w:header="0" w:footer="1072" w:top="1140" w:bottom="1260" w:left="1320" w:right="1320"/>
          <w:pgNumType w:start="52"/>
        </w:sectPr>
      </w:pPr>
    </w:p>
    <w:p>
      <w:pPr>
        <w:pStyle w:val="BodyText"/>
        <w:spacing w:before="4"/>
        <w:rPr>
          <w:b/>
          <w:sz w:val="20"/>
        </w:rPr>
      </w:pPr>
    </w:p>
    <w:p>
      <w:pPr>
        <w:pStyle w:val="BodyText"/>
        <w:spacing w:line="276" w:lineRule="auto" w:before="56"/>
        <w:ind w:left="120" w:right="347"/>
      </w:pPr>
      <w:r>
        <w:rPr/>
        <w:t>Families with children are more likely to be sheltered, with 80.7% of these households in shelters or transitional housing. However, 19.3% remain unsheltered, indicating that some families with children face severe housing challenges. Households without children have a higher incidence of unsheltered homelessness (37.2%), indicating that adults without children are at greater risk of being unsheltered. Veterans, particularly those without children, are mostly sheltered. However, the presence of unsheltered veteran families indicates a need for more comprehensive veteran housing services, especially for families. Unaccompanied youth experience a disturbingly high rate of unsheltered homelessness (46.2%). This vulnerable group requires additional outreach and housing solutions. Racial and ethnic disparities in homelessness are evident in the data, with White, Black, and Multi-Racial individuals more likely to be unsheltered compared to other racial groups, such as Hispanic/Latina/e/o and Middle Eastern or North African individuals, who are entirely sheltered. White individuals make up the largest proportion of both sheltered and unsheltered homeless populations, but their rate of unsheltered homelessness (38.3%) is notably high.</w:t>
      </w:r>
    </w:p>
    <w:p>
      <w:pPr>
        <w:pStyle w:val="BodyText"/>
        <w:spacing w:line="276" w:lineRule="auto"/>
        <w:ind w:left="120" w:right="300"/>
      </w:pPr>
      <w:r>
        <w:rPr/>
        <w:t>Similarly, Black or African-American individuals have a high rate of unsheltered homelessness at 31.9%, highlighting racial inequalities in access to housing resources.</w:t>
      </w:r>
    </w:p>
    <w:p>
      <w:pPr>
        <w:pStyle w:val="BodyText"/>
        <w:spacing w:before="5"/>
        <w:rPr>
          <w:sz w:val="16"/>
        </w:rPr>
      </w:pPr>
    </w:p>
    <w:p>
      <w:pPr>
        <w:pStyle w:val="Heading4"/>
        <w:ind w:left="120"/>
      </w:pPr>
      <w:r>
        <w:rPr/>
        <w:t>Discussion:</w:t>
      </w:r>
    </w:p>
    <w:p>
      <w:pPr>
        <w:pStyle w:val="BodyText"/>
        <w:spacing w:line="276" w:lineRule="auto" w:before="155"/>
        <w:ind w:left="120" w:right="156"/>
      </w:pPr>
      <w:r>
        <w:rPr/>
        <w:t>Addressing the unsheltered homelessness issue will require targeted outreach, more affordable housing options, and support services that cater to the specific needs of these diverse population groups. There is a signiﬁcant need for continued case management beyond the initial housing placement. Current funding often limits case management to immediate crisis situations, but ongoing support is essential for successful long- term housing stability. Stakeholders reported that creating dedicated spaces with integrated services, including case management, can improve housing stability and help individuals adapt to their new living situations. Housing for chronically homeless individuals was also identified as a need.</w:t>
      </w:r>
    </w:p>
    <w:p>
      <w:pPr>
        <w:pStyle w:val="BodyText"/>
        <w:spacing w:before="5"/>
        <w:rPr>
          <w:sz w:val="16"/>
        </w:rPr>
      </w:pPr>
    </w:p>
    <w:p>
      <w:pPr>
        <w:pStyle w:val="BodyText"/>
        <w:spacing w:line="276" w:lineRule="auto"/>
        <w:ind w:left="120" w:right="215"/>
      </w:pPr>
      <w:r>
        <w:rPr/>
        <w:t>While no longer a priority at the federal level, there are transitional housing needs that still exist in the City, in addition to robust case management services. Stakeholders report there is a fear among constituencies of losing benefits, which discourages efforts to find better- paying jobs or improve their financial situation. A 6 to 12-month transitional housing assistance program could allow recipients to increase their income without losing benefits, helping them manage the financial steps toward self-sufficiency.</w:t>
      </w:r>
    </w:p>
    <w:p>
      <w:pPr>
        <w:spacing w:after="0" w:line="276" w:lineRule="auto"/>
        <w:sectPr>
          <w:headerReference w:type="default" r:id="rId19"/>
          <w:footerReference w:type="default" r:id="rId20"/>
          <w:pgSz w:w="15840" w:h="12240" w:orient="landscape"/>
          <w:pgMar w:header="0" w:footer="1072" w:top="1140" w:bottom="1260" w:left="1320" w:right="1320"/>
          <w:pgNumType w:start="53"/>
        </w:sectPr>
      </w:pPr>
    </w:p>
    <w:p>
      <w:pPr>
        <w:pStyle w:val="BodyText"/>
        <w:rPr>
          <w:sz w:val="20"/>
        </w:rPr>
      </w:pPr>
    </w:p>
    <w:p>
      <w:pPr>
        <w:pStyle w:val="BodyText"/>
        <w:spacing w:before="3"/>
        <w:rPr>
          <w:sz w:val="15"/>
        </w:rPr>
      </w:pPr>
    </w:p>
    <w:p>
      <w:pPr>
        <w:pStyle w:val="Heading1"/>
        <w:spacing w:before="35"/>
        <w:ind w:left="120"/>
      </w:pPr>
      <w:r>
        <w:rPr>
          <w:color w:val="0E4661"/>
        </w:rPr>
        <w:t>NA-45 Non-Homeless Special Needs Assessment - 91.205 (b,d)</w:t>
      </w:r>
    </w:p>
    <w:p>
      <w:pPr>
        <w:pStyle w:val="Heading4"/>
        <w:spacing w:before="138"/>
        <w:ind w:left="120"/>
      </w:pPr>
      <w:r>
        <w:rPr/>
        <w:t>Introduction:</w:t>
      </w:r>
    </w:p>
    <w:p>
      <w:pPr>
        <w:pStyle w:val="BodyText"/>
        <w:spacing w:line="276" w:lineRule="auto" w:before="155"/>
        <w:ind w:left="120" w:right="121"/>
      </w:pPr>
      <w:r>
        <w:rPr/>
        <w:t>This section will discuss the characteristics and needs of persons in various subpopulations of Bloomington who are not homeless but may require supportive services, including the elderly, frail elderly, persons with disabilities (mental, physical, developmental), persons with HIV/AIDS and their families, persons with alcohol or drug addiction, victims of domestic violence, and persons with a criminal record or who were formerly incarcerated.</w:t>
      </w:r>
    </w:p>
    <w:p>
      <w:pPr>
        <w:pStyle w:val="BodyText"/>
        <w:spacing w:before="5"/>
        <w:rPr>
          <w:sz w:val="16"/>
        </w:rPr>
      </w:pPr>
    </w:p>
    <w:p>
      <w:pPr>
        <w:pStyle w:val="BodyText"/>
        <w:spacing w:line="276" w:lineRule="auto"/>
        <w:ind w:left="120" w:right="371"/>
      </w:pPr>
      <w:r>
        <w:rPr/>
        <w:t>Persons with special needs include the elderly and frail elderly, persons with severe mental illness, persons with developmental disabilities, persons with physical disabilities, persons with alcohol/other drug addictions. In addition, many persons with special needs also have very low incomes.</w:t>
      </w:r>
    </w:p>
    <w:p>
      <w:pPr>
        <w:pStyle w:val="BodyText"/>
        <w:spacing w:before="5"/>
        <w:rPr>
          <w:sz w:val="16"/>
        </w:rPr>
      </w:pPr>
    </w:p>
    <w:p>
      <w:pPr>
        <w:pStyle w:val="Heading4"/>
        <w:ind w:left="120"/>
      </w:pPr>
      <w:r>
        <w:rPr/>
        <w:t>Describe the characteristics of special needs populations in your community:</w:t>
      </w:r>
    </w:p>
    <w:p>
      <w:pPr>
        <w:pStyle w:val="BodyText"/>
        <w:rPr>
          <w:b/>
          <w:sz w:val="13"/>
        </w:rPr>
      </w:pPr>
    </w:p>
    <w:p>
      <w:pPr>
        <w:spacing w:before="85"/>
        <w:ind w:left="120" w:right="0" w:firstLine="0"/>
        <w:jc w:val="left"/>
        <w:rPr>
          <w:sz w:val="24"/>
        </w:rPr>
      </w:pPr>
      <w:r>
        <w:rPr>
          <w:spacing w:val="-118"/>
          <w:sz w:val="24"/>
          <w:u w:val="single"/>
        </w:rPr>
        <w:t>E</w:t>
      </w:r>
      <w:r>
        <w:rPr>
          <w:spacing w:val="62"/>
          <w:sz w:val="24"/>
        </w:rPr>
        <w:t> </w:t>
      </w:r>
      <w:r>
        <w:rPr>
          <w:sz w:val="24"/>
          <w:u w:val="single"/>
        </w:rPr>
        <w:t>lderly</w:t>
      </w:r>
    </w:p>
    <w:p>
      <w:pPr>
        <w:pStyle w:val="BodyText"/>
        <w:spacing w:line="276" w:lineRule="auto" w:before="44"/>
        <w:ind w:left="120" w:right="662"/>
      </w:pPr>
      <w:r>
        <w:rPr/>
        <w:t>Elderly persons are more likely to live on fixed, very low incomes or require special supportive service to complete their daily routines. This means elderly residents especially need affordable housing options and easy access to service providers.</w:t>
      </w:r>
    </w:p>
    <w:p>
      <w:pPr>
        <w:pStyle w:val="BodyText"/>
        <w:spacing w:before="4"/>
        <w:rPr>
          <w:sz w:val="16"/>
        </w:rPr>
      </w:pPr>
    </w:p>
    <w:p>
      <w:pPr>
        <w:pStyle w:val="BodyText"/>
        <w:spacing w:line="276" w:lineRule="auto"/>
        <w:ind w:left="120" w:right="275"/>
      </w:pPr>
      <w:r>
        <w:rPr/>
        <w:t>According to ACS 2019-2023 Five Year Estimates, approximately 10% of the City’s population is aged 65 or over. Of these, 13% have a hearing difficulty; 16.7% experience ambulatory difficult; 5.6% reported a self-care difficulty; and 17.4% reported an independently living difficulty.</w:t>
      </w:r>
    </w:p>
    <w:p>
      <w:pPr>
        <w:pStyle w:val="BodyText"/>
        <w:spacing w:before="5"/>
        <w:rPr>
          <w:sz w:val="9"/>
        </w:rPr>
      </w:pPr>
    </w:p>
    <w:p>
      <w:pPr>
        <w:spacing w:before="86"/>
        <w:ind w:left="120" w:right="0" w:firstLine="0"/>
        <w:jc w:val="left"/>
        <w:rPr>
          <w:sz w:val="24"/>
        </w:rPr>
      </w:pPr>
      <w:r>
        <w:rPr>
          <w:spacing w:val="-124"/>
          <w:sz w:val="24"/>
          <w:u w:val="single"/>
        </w:rPr>
        <w:t>P</w:t>
      </w:r>
      <w:r>
        <w:rPr>
          <w:spacing w:val="69"/>
          <w:sz w:val="24"/>
        </w:rPr>
        <w:t> </w:t>
      </w:r>
      <w:r>
        <w:rPr>
          <w:sz w:val="24"/>
          <w:u w:val="single"/>
        </w:rPr>
        <w:t>ersons with Disabilities</w:t>
      </w:r>
    </w:p>
    <w:p>
      <w:pPr>
        <w:pStyle w:val="BodyText"/>
        <w:spacing w:line="276" w:lineRule="auto" w:before="44"/>
        <w:ind w:left="120" w:right="167"/>
      </w:pPr>
      <w:r>
        <w:rPr/>
        <w:t>In 2023, 13% of the population had a disability. Individuals with ambulatory disabilities generally require accessible housing units, and individuals with independent living disabilities may require assisted living facilities. Stakeholders report that individuals with disabilities also </w:t>
      </w:r>
      <w:r>
        <w:rPr>
          <w:spacing w:val="-5"/>
        </w:rPr>
        <w:t>face </w:t>
      </w:r>
      <w:r>
        <w:rPr/>
        <w:t>financial challenges related to moving, security deposits, etc. as Medicaid limits don’t compete with high housing costs in safe areas of the City. Stakeholders also reported a shortage of accessible units within the City that are affordable and within Housing Choice Voucher guidelines.</w:t>
      </w:r>
    </w:p>
    <w:p>
      <w:pPr>
        <w:pStyle w:val="BodyText"/>
        <w:spacing w:before="2"/>
        <w:rPr>
          <w:sz w:val="12"/>
        </w:rPr>
      </w:pPr>
    </w:p>
    <w:p>
      <w:pPr>
        <w:spacing w:before="51"/>
        <w:ind w:left="120" w:right="0" w:firstLine="0"/>
        <w:jc w:val="left"/>
        <w:rPr>
          <w:sz w:val="24"/>
        </w:rPr>
      </w:pPr>
      <w:r>
        <w:rPr>
          <w:spacing w:val="-111"/>
          <w:sz w:val="24"/>
          <w:u w:val="single"/>
        </w:rPr>
        <w:t>S</w:t>
      </w:r>
      <w:r>
        <w:rPr>
          <w:spacing w:val="55"/>
          <w:sz w:val="24"/>
        </w:rPr>
        <w:t> </w:t>
      </w:r>
      <w:r>
        <w:rPr>
          <w:sz w:val="24"/>
          <w:u w:val="single"/>
        </w:rPr>
        <w:t>ubstance Abuse and Addiction</w:t>
      </w:r>
    </w:p>
    <w:p>
      <w:pPr>
        <w:pStyle w:val="BodyText"/>
        <w:spacing w:line="276" w:lineRule="auto" w:before="44"/>
        <w:ind w:left="120" w:right="980"/>
      </w:pPr>
      <w:r>
        <w:rPr/>
        <w:t>There is a need for implementation of substance misuse crisis services as well as ongoing case management and services for individuals struggling with substance misuse to aid in reducing barriers.</w:t>
      </w:r>
    </w:p>
    <w:p>
      <w:pPr>
        <w:spacing w:after="0" w:line="276" w:lineRule="auto"/>
        <w:sectPr>
          <w:headerReference w:type="default" r:id="rId21"/>
          <w:footerReference w:type="default" r:id="rId22"/>
          <w:pgSz w:w="15840" w:h="12240" w:orient="landscape"/>
          <w:pgMar w:header="0" w:footer="1072" w:top="1140" w:bottom="1260" w:left="1320" w:right="1320"/>
          <w:pgNumType w:start="54"/>
        </w:sectPr>
      </w:pPr>
    </w:p>
    <w:p>
      <w:pPr>
        <w:pStyle w:val="BodyText"/>
        <w:spacing w:before="4"/>
        <w:rPr>
          <w:sz w:val="20"/>
        </w:rPr>
      </w:pPr>
    </w:p>
    <w:p>
      <w:pPr>
        <w:pStyle w:val="BodyText"/>
        <w:spacing w:line="276" w:lineRule="auto" w:before="56"/>
        <w:ind w:left="120" w:right="100"/>
      </w:pPr>
      <w:r>
        <w:rPr/>
        <w:t>Individuals who have special needs are typically extremely low income and face tremendous challenges finding housing that they can afford. Individuals with special needs also require supportive services in addition to housing that they can afford. Public and private sources have limited funds available for these purposes, making it difficult for non-profit organizations to develop and operate housing and supportive service programs.</w:t>
      </w:r>
    </w:p>
    <w:p>
      <w:pPr>
        <w:pStyle w:val="BodyText"/>
      </w:pPr>
    </w:p>
    <w:p>
      <w:pPr>
        <w:pStyle w:val="BodyText"/>
      </w:pPr>
    </w:p>
    <w:p>
      <w:pPr>
        <w:pStyle w:val="BodyText"/>
        <w:spacing w:before="4"/>
        <w:rPr>
          <w:sz w:val="16"/>
        </w:rPr>
      </w:pPr>
    </w:p>
    <w:p>
      <w:pPr>
        <w:pStyle w:val="Heading4"/>
        <w:spacing w:before="1"/>
        <w:ind w:left="120"/>
      </w:pPr>
      <w:r>
        <w:rPr/>
        <w:t>What are the housing and supportive service needs of these populations and how are these needs determined?</w:t>
      </w:r>
    </w:p>
    <w:p>
      <w:pPr>
        <w:pStyle w:val="BodyText"/>
        <w:spacing w:before="11"/>
        <w:rPr>
          <w:b/>
          <w:sz w:val="19"/>
        </w:rPr>
      </w:pPr>
    </w:p>
    <w:p>
      <w:pPr>
        <w:pStyle w:val="BodyText"/>
        <w:spacing w:line="276" w:lineRule="auto"/>
        <w:ind w:left="120" w:right="214"/>
      </w:pPr>
      <w:r>
        <w:rPr/>
        <w:t>Stakeholders reported a concern about the lack of accessible housing for an aging population and the need for better planning to ensure homes are suitable for aging in place without becoming excessively costly. Stakeholders also indicated a need to consider that building affordable housing outside urban areas may reduce accessibility and affordability for seniors and people with disabilities. In general, an affordable, accessible inventory available for people with disabilities is needed, along with housing supportive services for those with mental health and substance misuse are needed.</w:t>
      </w:r>
    </w:p>
    <w:p>
      <w:pPr>
        <w:pStyle w:val="BodyText"/>
        <w:spacing w:before="5"/>
        <w:rPr>
          <w:sz w:val="16"/>
        </w:rPr>
      </w:pPr>
    </w:p>
    <w:p>
      <w:pPr>
        <w:pStyle w:val="Heading4"/>
        <w:spacing w:line="276" w:lineRule="auto"/>
        <w:ind w:left="120" w:right="252"/>
      </w:pPr>
      <w:r>
        <w:rPr/>
        <w:t>Discuss the size and characteristics of the population with HIV/AIDS and their families within the Eligible Metropolitan Statistical Area:</w:t>
      </w:r>
    </w:p>
    <w:p>
      <w:pPr>
        <w:pStyle w:val="BodyText"/>
        <w:spacing w:line="276" w:lineRule="auto" w:before="200"/>
        <w:ind w:left="120" w:right="439"/>
      </w:pPr>
      <w:r>
        <w:rPr/>
        <w:t>Indiana Department of Health provides regional data indicating that 470 individuals are living with HIV in the Region 9 Zero Is Possible region. Further discussion with IU Health Positive Link indicates 282 individuals living in with HIV in Monroe County, representing a rate of 200 per 100,000 people compared to a state rate of 210 per 100,000.</w:t>
      </w:r>
    </w:p>
    <w:p>
      <w:pPr>
        <w:pStyle w:val="BodyText"/>
        <w:spacing w:before="4"/>
        <w:rPr>
          <w:sz w:val="16"/>
        </w:rPr>
      </w:pPr>
    </w:p>
    <w:p>
      <w:pPr>
        <w:pStyle w:val="BodyText"/>
        <w:spacing w:line="276" w:lineRule="auto" w:before="1"/>
        <w:ind w:left="120" w:right="156"/>
      </w:pPr>
      <w:r>
        <w:rPr/>
        <w:t>Bloomington is home to Indiana University Health’s Positive Link program. Serving 49 counties throughout Indiana, Positive Link provides a continuum of services for those impacted by HIV in Indiana. Services include a primary care and PrEP clinic, prevention services, medical and nonmedical case management, and housing services. IU Health Positive Link reports a Monroe County viral suppression rate of 65%, just below the state average of 68%. Clients served by the program are disproportionately facing severe barriers to healthcare, including primary care and PrEP clinical services, education and testing, and referral to mainstream resources.</w:t>
      </w:r>
    </w:p>
    <w:p>
      <w:pPr>
        <w:pStyle w:val="BodyText"/>
        <w:spacing w:before="2"/>
        <w:rPr>
          <w:sz w:val="19"/>
        </w:rPr>
      </w:pPr>
    </w:p>
    <w:p>
      <w:pPr>
        <w:pStyle w:val="Heading4"/>
        <w:spacing w:line="204" w:lineRule="auto"/>
        <w:ind w:left="120" w:right="180"/>
        <w:jc w:val="both"/>
      </w:pPr>
      <w:r>
        <w:rPr/>
        <w:t>If the PJ will establish a preference for a HOME TBRA activity for persons with a specific category of disabilities (e.g., persons with HIV/AIDS or chronic mental illness), describe their unmet need for housing and services needed to narrow the gap in benefits and services received by such persons. (See 24 CFR 92.209(c)(2) (ii))</w:t>
      </w:r>
    </w:p>
    <w:p>
      <w:pPr>
        <w:spacing w:after="0" w:line="204" w:lineRule="auto"/>
        <w:jc w:val="both"/>
        <w:sectPr>
          <w:headerReference w:type="default" r:id="rId23"/>
          <w:footerReference w:type="default" r:id="rId24"/>
          <w:pgSz w:w="15840" w:h="12240" w:orient="landscape"/>
          <w:pgMar w:header="0" w:footer="1072" w:top="1140" w:bottom="1260" w:left="1320" w:right="1320"/>
          <w:pgNumType w:start="55"/>
        </w:sectPr>
      </w:pPr>
    </w:p>
    <w:p>
      <w:pPr>
        <w:pStyle w:val="BodyText"/>
        <w:spacing w:before="8"/>
        <w:rPr>
          <w:b/>
          <w:sz w:val="20"/>
        </w:rPr>
      </w:pPr>
    </w:p>
    <w:p>
      <w:pPr>
        <w:pStyle w:val="Heading5"/>
        <w:spacing w:before="52"/>
        <w:ind w:left="120" w:firstLine="0"/>
      </w:pPr>
      <w:r>
        <w:rPr/>
        <w:t>N/A</w:t>
      </w:r>
    </w:p>
    <w:p>
      <w:pPr>
        <w:spacing w:after="0"/>
        <w:sectPr>
          <w:headerReference w:type="default" r:id="rId25"/>
          <w:footerReference w:type="default" r:id="rId26"/>
          <w:pgSz w:w="15840" w:h="12240" w:orient="landscape"/>
          <w:pgMar w:header="0" w:footer="1072" w:top="1140" w:bottom="1260" w:left="1320" w:right="1320"/>
          <w:pgNumType w:start="56"/>
        </w:sectPr>
      </w:pPr>
    </w:p>
    <w:p>
      <w:pPr>
        <w:pStyle w:val="BodyText"/>
        <w:rPr>
          <w:sz w:val="20"/>
        </w:rPr>
      </w:pPr>
    </w:p>
    <w:p>
      <w:pPr>
        <w:pStyle w:val="BodyText"/>
        <w:spacing w:before="3"/>
        <w:rPr>
          <w:sz w:val="15"/>
        </w:rPr>
      </w:pPr>
    </w:p>
    <w:p>
      <w:pPr>
        <w:spacing w:before="35"/>
        <w:ind w:left="120" w:right="0" w:firstLine="0"/>
        <w:jc w:val="left"/>
        <w:rPr>
          <w:b/>
          <w:sz w:val="32"/>
        </w:rPr>
      </w:pPr>
      <w:r>
        <w:rPr>
          <w:b/>
          <w:color w:val="0E4661"/>
          <w:sz w:val="32"/>
        </w:rPr>
        <w:t>NA-50 Non-Housing Community Development Needs – 91.215 (f)</w:t>
      </w:r>
    </w:p>
    <w:p>
      <w:pPr>
        <w:spacing w:before="138"/>
        <w:ind w:left="120" w:right="0" w:firstLine="0"/>
        <w:jc w:val="left"/>
        <w:rPr>
          <w:b/>
          <w:sz w:val="24"/>
        </w:rPr>
      </w:pPr>
      <w:r>
        <w:rPr>
          <w:b/>
          <w:sz w:val="24"/>
        </w:rPr>
        <w:t>Describe the jurisdiction’s need for Public Facilities:</w:t>
      </w:r>
    </w:p>
    <w:p>
      <w:pPr>
        <w:pStyle w:val="BodyText"/>
        <w:spacing w:before="11"/>
        <w:rPr>
          <w:b/>
          <w:sz w:val="19"/>
        </w:rPr>
      </w:pPr>
    </w:p>
    <w:p>
      <w:pPr>
        <w:pStyle w:val="BodyText"/>
        <w:spacing w:line="276" w:lineRule="auto"/>
        <w:ind w:left="120" w:right="206"/>
      </w:pPr>
      <w:r>
        <w:rPr/>
        <w:t>Through CDBG funds, Bloomington can fund the construction, rehabilitation, or installation of public facilities. Eligible public facilities include neighborhood facilities (such as educational centers, parks, recreation centers, and libraries) and facilities for special needs populations (such as homeless shelters, elderly facilities, or centers for people with disabilities).</w:t>
      </w:r>
    </w:p>
    <w:p>
      <w:pPr>
        <w:pStyle w:val="BodyText"/>
        <w:spacing w:before="5"/>
        <w:rPr>
          <w:sz w:val="16"/>
        </w:rPr>
      </w:pPr>
    </w:p>
    <w:p>
      <w:pPr>
        <w:pStyle w:val="Heading4"/>
        <w:ind w:left="120"/>
      </w:pPr>
      <w:r>
        <w:rPr/>
        <w:t>How were these needs determined?</w:t>
      </w:r>
    </w:p>
    <w:p>
      <w:pPr>
        <w:pStyle w:val="BodyText"/>
        <w:spacing w:before="12"/>
        <w:rPr>
          <w:b/>
          <w:sz w:val="19"/>
        </w:rPr>
      </w:pPr>
    </w:p>
    <w:p>
      <w:pPr>
        <w:pStyle w:val="BodyText"/>
        <w:ind w:left="120"/>
      </w:pPr>
      <w:r>
        <w:rPr/>
        <w:t>These needs were determined by a series of stakeholder workshops, focus groups and community needs survey.</w:t>
      </w:r>
    </w:p>
    <w:p>
      <w:pPr>
        <w:pStyle w:val="BodyText"/>
        <w:spacing w:before="8"/>
        <w:rPr>
          <w:sz w:val="19"/>
        </w:rPr>
      </w:pPr>
    </w:p>
    <w:p>
      <w:pPr>
        <w:pStyle w:val="Heading4"/>
        <w:spacing w:before="1"/>
        <w:ind w:left="120"/>
      </w:pPr>
      <w:r>
        <w:rPr/>
        <w:t>Describe the jurisdiction’s need for Public Improvements:</w:t>
      </w:r>
    </w:p>
    <w:p>
      <w:pPr>
        <w:pStyle w:val="BodyText"/>
        <w:spacing w:before="11"/>
        <w:rPr>
          <w:b/>
          <w:sz w:val="19"/>
        </w:rPr>
      </w:pPr>
    </w:p>
    <w:p>
      <w:pPr>
        <w:pStyle w:val="BodyText"/>
        <w:spacing w:line="276" w:lineRule="auto"/>
        <w:ind w:left="120" w:right="817"/>
      </w:pPr>
      <w:r>
        <w:rPr/>
        <w:t>Through CDBG funds, the City can also fund the construction, rehabilitation, or installation of public improvements. Public improvements include, but are not limited to, street and sidewalk improvements, water and sewer installation, and maintenance and ADA compliance construction and rehabilitation.</w:t>
      </w:r>
    </w:p>
    <w:p>
      <w:pPr>
        <w:pStyle w:val="BodyText"/>
        <w:spacing w:before="5"/>
        <w:rPr>
          <w:sz w:val="16"/>
        </w:rPr>
      </w:pPr>
    </w:p>
    <w:p>
      <w:pPr>
        <w:pStyle w:val="BodyText"/>
        <w:spacing w:line="276" w:lineRule="auto"/>
        <w:ind w:left="120" w:right="191"/>
      </w:pPr>
      <w:r>
        <w:rPr/>
        <w:t>Public transit is crucial for low- and moderate-income households as it provides access to employment, childcare, and essential services, helping reduce the cost of living by eliminating the need for a private vehicle. Stakeholders reported a need for frequent and reliable transit options, especially for lower-income households, to offer more flexibility and reduce the risks of job-related challenges due to transit delays.</w:t>
      </w:r>
    </w:p>
    <w:p>
      <w:pPr>
        <w:pStyle w:val="BodyText"/>
        <w:spacing w:before="5"/>
        <w:rPr>
          <w:sz w:val="16"/>
        </w:rPr>
      </w:pPr>
    </w:p>
    <w:p>
      <w:pPr>
        <w:pStyle w:val="Heading4"/>
        <w:ind w:left="120"/>
      </w:pPr>
      <w:r>
        <w:rPr/>
        <w:t>How were these needs determined?</w:t>
      </w:r>
    </w:p>
    <w:p>
      <w:pPr>
        <w:pStyle w:val="BodyText"/>
        <w:spacing w:before="11"/>
        <w:rPr>
          <w:b/>
          <w:sz w:val="19"/>
        </w:rPr>
      </w:pPr>
    </w:p>
    <w:p>
      <w:pPr>
        <w:pStyle w:val="BodyText"/>
        <w:spacing w:before="1"/>
        <w:ind w:left="120"/>
      </w:pPr>
      <w:r>
        <w:rPr/>
        <w:t>These needs were determined by a series of stakeholder workshops, focus groups and community needs survey.</w:t>
      </w:r>
    </w:p>
    <w:p>
      <w:pPr>
        <w:pStyle w:val="BodyText"/>
        <w:spacing w:before="8"/>
        <w:rPr>
          <w:sz w:val="19"/>
        </w:rPr>
      </w:pPr>
    </w:p>
    <w:p>
      <w:pPr>
        <w:pStyle w:val="Heading4"/>
        <w:ind w:left="120"/>
      </w:pPr>
      <w:r>
        <w:rPr/>
        <w:t>Describe the jurisdiction’s need for Public Services:</w:t>
      </w:r>
    </w:p>
    <w:p>
      <w:pPr>
        <w:pStyle w:val="BodyText"/>
        <w:rPr>
          <w:b/>
          <w:sz w:val="20"/>
        </w:rPr>
      </w:pPr>
    </w:p>
    <w:p>
      <w:pPr>
        <w:pStyle w:val="BodyText"/>
        <w:spacing w:line="276" w:lineRule="auto"/>
        <w:ind w:left="120" w:right="180"/>
      </w:pPr>
      <w:r>
        <w:rPr/>
        <w:t>Through CDBG funds, Bloomington can fund an array of public services. Eligible public services include, but are not limited to, homeless services, education and workforce development programs, homebuyer counseling, elderly care and programs, and childcare and health services for low- moderate-income households.</w:t>
      </w:r>
    </w:p>
    <w:p>
      <w:pPr>
        <w:spacing w:after="0" w:line="276" w:lineRule="auto"/>
        <w:sectPr>
          <w:headerReference w:type="default" r:id="rId27"/>
          <w:footerReference w:type="default" r:id="rId28"/>
          <w:pgSz w:w="15840" w:h="12240" w:orient="landscape"/>
          <w:pgMar w:header="0" w:footer="1072" w:top="1140" w:bottom="1260" w:left="1320" w:right="1320"/>
          <w:pgNumType w:start="57"/>
        </w:sectPr>
      </w:pPr>
    </w:p>
    <w:p>
      <w:pPr>
        <w:pStyle w:val="BodyText"/>
        <w:spacing w:before="4"/>
        <w:rPr>
          <w:sz w:val="20"/>
        </w:rPr>
      </w:pPr>
    </w:p>
    <w:p>
      <w:pPr>
        <w:pStyle w:val="BodyText"/>
        <w:spacing w:line="276" w:lineRule="auto" w:before="56"/>
        <w:ind w:left="120" w:right="275"/>
      </w:pPr>
      <w:r>
        <w:rPr/>
        <w:t>Stakeholders reported the need for affordable childcare. Long waitlists and limited availability impact families' ability to work and find stable housing. Food insecurity was also identified as a problem for City residents.</w:t>
      </w:r>
    </w:p>
    <w:p>
      <w:pPr>
        <w:pStyle w:val="BodyText"/>
        <w:spacing w:before="5"/>
        <w:rPr>
          <w:sz w:val="16"/>
        </w:rPr>
      </w:pPr>
    </w:p>
    <w:p>
      <w:pPr>
        <w:pStyle w:val="Heading4"/>
        <w:ind w:left="120"/>
      </w:pPr>
      <w:r>
        <w:rPr/>
        <w:t>How were these needs determined?</w:t>
      </w:r>
    </w:p>
    <w:p>
      <w:pPr>
        <w:pStyle w:val="BodyText"/>
        <w:spacing w:before="11"/>
        <w:rPr>
          <w:b/>
          <w:sz w:val="19"/>
        </w:rPr>
      </w:pPr>
    </w:p>
    <w:p>
      <w:pPr>
        <w:pStyle w:val="BodyText"/>
        <w:ind w:left="120"/>
      </w:pPr>
      <w:r>
        <w:rPr/>
        <w:t>These needs were determined by a series of stakeholder workshops, focus groups and community needs survey.</w:t>
      </w:r>
    </w:p>
    <w:p>
      <w:pPr>
        <w:spacing w:after="0"/>
        <w:sectPr>
          <w:headerReference w:type="default" r:id="rId29"/>
          <w:footerReference w:type="default" r:id="rId30"/>
          <w:pgSz w:w="15840" w:h="12240" w:orient="landscape"/>
          <w:pgMar w:header="0" w:footer="1072" w:top="1140" w:bottom="1260" w:left="1320" w:right="1320"/>
          <w:pgNumType w:start="58"/>
        </w:sectPr>
      </w:pPr>
    </w:p>
    <w:p>
      <w:pPr>
        <w:pStyle w:val="BodyText"/>
        <w:spacing w:before="2"/>
      </w:pPr>
    </w:p>
    <w:p>
      <w:pPr>
        <w:spacing w:before="35"/>
        <w:ind w:left="3357" w:right="3357" w:firstLine="0"/>
        <w:jc w:val="center"/>
        <w:rPr>
          <w:sz w:val="32"/>
        </w:rPr>
      </w:pPr>
      <w:r>
        <w:rPr>
          <w:sz w:val="32"/>
        </w:rPr>
        <w:t>Housing Market Analysis</w:t>
      </w:r>
    </w:p>
    <w:p>
      <w:pPr>
        <w:spacing w:before="219"/>
        <w:ind w:left="120" w:right="0" w:firstLine="0"/>
        <w:jc w:val="left"/>
        <w:rPr>
          <w:b/>
          <w:sz w:val="32"/>
        </w:rPr>
      </w:pPr>
      <w:r>
        <w:rPr>
          <w:b/>
          <w:color w:val="0E4661"/>
          <w:sz w:val="32"/>
        </w:rPr>
        <w:t>MA-05 Overview</w:t>
      </w:r>
    </w:p>
    <w:p>
      <w:pPr>
        <w:pStyle w:val="Heading4"/>
        <w:spacing w:before="137"/>
        <w:ind w:left="120"/>
      </w:pPr>
      <w:r>
        <w:rPr/>
        <w:t>Housing Market Analysis Overview:</w:t>
      </w:r>
    </w:p>
    <w:p>
      <w:pPr>
        <w:pStyle w:val="BodyText"/>
        <w:spacing w:before="5"/>
        <w:rPr>
          <w:b/>
          <w:sz w:val="15"/>
        </w:rPr>
      </w:pPr>
    </w:p>
    <w:p>
      <w:pPr>
        <w:pStyle w:val="BodyText"/>
        <w:spacing w:line="276" w:lineRule="auto" w:before="55"/>
        <w:ind w:left="120" w:right="540"/>
      </w:pPr>
      <w:r>
        <w:rPr/>
        <w:t>Bloomington has a diverse housing market influenced by various factors, including the student population, local economy, and demographic trends. Bloomington offers a mix of housing types, including single-family homes, multi-family units, apartments, and student housing. The proximity to the university significantly affects the rental market, with a substantial number of properties catering to students.</w:t>
      </w:r>
    </w:p>
    <w:p>
      <w:pPr>
        <w:pStyle w:val="BodyText"/>
        <w:spacing w:before="5"/>
        <w:rPr>
          <w:sz w:val="16"/>
        </w:rPr>
      </w:pPr>
    </w:p>
    <w:p>
      <w:pPr>
        <w:pStyle w:val="BodyText"/>
        <w:spacing w:line="276" w:lineRule="auto"/>
        <w:ind w:left="120" w:right="357"/>
      </w:pPr>
      <w:r>
        <w:rPr/>
        <w:t>While there are affordable housing options, the demand often outpaces supply, particularly for low-income families and individuals. RAD housing and subsidized units are limited, leading to longer waiting lists. Over the past few years, home prices in Bloomington have steadily increased. Stakeholders report that factors contributing to this trend include low inventory, strong demand from buyers, and investment from individuals seeking rental properties. The rental market is robust, driven largely by the student population. Average rents have also increased, making it challenging for low-income renters to find affordable options.</w:t>
      </w:r>
    </w:p>
    <w:p>
      <w:pPr>
        <w:pStyle w:val="BodyText"/>
        <w:spacing w:before="4"/>
        <w:rPr>
          <w:sz w:val="16"/>
        </w:rPr>
      </w:pPr>
    </w:p>
    <w:p>
      <w:pPr>
        <w:pStyle w:val="BodyText"/>
        <w:spacing w:line="276" w:lineRule="auto" w:before="1"/>
        <w:ind w:left="120" w:right="377"/>
      </w:pPr>
      <w:r>
        <w:rPr/>
        <w:t>While vacancy rates in the rental market can fluctuate seasonally due to the academic calendar, overall trends indicate a competitive market, particularly for desirable neighborhoods close to the university. The presence of Indiana University contributes significantly to the housing market, creating a demand for both on-campus and off-campus housing. This demand can lead to higher rental prices, especially in areas near the campus.</w:t>
      </w:r>
    </w:p>
    <w:p>
      <w:pPr>
        <w:pStyle w:val="BodyText"/>
        <w:spacing w:before="4"/>
        <w:rPr>
          <w:sz w:val="16"/>
        </w:rPr>
      </w:pPr>
    </w:p>
    <w:p>
      <w:pPr>
        <w:pStyle w:val="BodyText"/>
        <w:spacing w:line="276" w:lineRule="auto"/>
        <w:ind w:left="120" w:right="865"/>
      </w:pPr>
      <w:r>
        <w:rPr/>
        <w:t>Bloomington’s population includes a mix of families, professionals, and retirees, each with different housing needs and preferences. This diversity influences the types of housing being developed and renovated in the area.</w:t>
      </w:r>
    </w:p>
    <w:p>
      <w:pPr>
        <w:pStyle w:val="BodyText"/>
        <w:spacing w:before="5"/>
        <w:rPr>
          <w:sz w:val="16"/>
        </w:rPr>
      </w:pPr>
    </w:p>
    <w:p>
      <w:pPr>
        <w:pStyle w:val="BodyText"/>
        <w:spacing w:line="276" w:lineRule="auto"/>
        <w:ind w:left="120" w:right="710"/>
      </w:pPr>
      <w:r>
        <w:rPr/>
        <w:t>The housing market in Bloomington, Indiana, is characterized by a mix of opportunities and challenges. While there is a strong demand for housing driven by the student population and economic stability, issues such as rising prices, limited affordable housing, and the need for diverse options remain critical concerns. Addressing these challenges will require collaborative efforts from local government, community organizations, and private developers to ensure that all residents have access to safe and affordable housing.</w:t>
      </w:r>
    </w:p>
    <w:p>
      <w:pPr>
        <w:spacing w:after="0" w:line="276" w:lineRule="auto"/>
        <w:sectPr>
          <w:headerReference w:type="default" r:id="rId31"/>
          <w:footerReference w:type="default" r:id="rId32"/>
          <w:pgSz w:w="15840" w:h="12240" w:orient="landscape"/>
          <w:pgMar w:header="0" w:footer="1072" w:top="1140" w:bottom="1260" w:left="1320" w:right="1320"/>
          <w:pgNumType w:start="59"/>
        </w:sectPr>
      </w:pPr>
    </w:p>
    <w:p>
      <w:pPr>
        <w:pStyle w:val="BodyText"/>
        <w:rPr>
          <w:sz w:val="20"/>
        </w:rPr>
      </w:pPr>
    </w:p>
    <w:p>
      <w:pPr>
        <w:pStyle w:val="BodyText"/>
        <w:spacing w:before="3"/>
        <w:rPr>
          <w:sz w:val="15"/>
        </w:rPr>
      </w:pPr>
    </w:p>
    <w:p>
      <w:pPr>
        <w:pStyle w:val="Heading1"/>
        <w:spacing w:before="35"/>
        <w:ind w:left="120"/>
      </w:pPr>
      <w:r>
        <w:rPr>
          <w:color w:val="0E4661"/>
        </w:rPr>
        <w:t>MA-10 Number of Housing Units – 91.210(a)&amp;(b)(2)</w:t>
      </w:r>
    </w:p>
    <w:p>
      <w:pPr>
        <w:pStyle w:val="Heading4"/>
        <w:spacing w:before="138"/>
        <w:ind w:left="120"/>
      </w:pPr>
      <w:r>
        <w:rPr/>
        <w:t>Introduction</w:t>
      </w:r>
    </w:p>
    <w:p>
      <w:pPr>
        <w:spacing w:before="156"/>
        <w:ind w:left="120" w:right="0" w:firstLine="0"/>
        <w:jc w:val="left"/>
        <w:rPr>
          <w:b/>
          <w:sz w:val="24"/>
        </w:rPr>
      </w:pPr>
      <w:r>
        <w:rPr>
          <w:b/>
          <w:sz w:val="24"/>
        </w:rPr>
        <w:t>All residential properties by number of units</w:t>
      </w:r>
    </w:p>
    <w:p>
      <w:pPr>
        <w:pStyle w:val="BodyText"/>
        <w:spacing w:before="7"/>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8"/>
        <w:gridCol w:w="3332"/>
        <w:gridCol w:w="2620"/>
      </w:tblGrid>
      <w:tr>
        <w:trPr>
          <w:trHeight w:val="263" w:hRule="atLeast"/>
        </w:trPr>
        <w:tc>
          <w:tcPr>
            <w:tcW w:w="3398" w:type="dxa"/>
          </w:tcPr>
          <w:p>
            <w:pPr>
              <w:pStyle w:val="TableParagraph"/>
              <w:spacing w:line="242" w:lineRule="exact" w:before="1"/>
              <w:ind w:left="112"/>
              <w:rPr>
                <w:b/>
                <w:sz w:val="22"/>
              </w:rPr>
            </w:pPr>
            <w:r>
              <w:rPr>
                <w:b/>
                <w:sz w:val="22"/>
              </w:rPr>
              <w:t>Property Type</w:t>
            </w:r>
          </w:p>
        </w:tc>
        <w:tc>
          <w:tcPr>
            <w:tcW w:w="3332" w:type="dxa"/>
          </w:tcPr>
          <w:p>
            <w:pPr>
              <w:pStyle w:val="TableParagraph"/>
              <w:spacing w:line="242" w:lineRule="exact" w:before="1"/>
              <w:ind w:left="1269" w:right="1259"/>
              <w:jc w:val="center"/>
              <w:rPr>
                <w:b/>
                <w:sz w:val="22"/>
              </w:rPr>
            </w:pPr>
            <w:r>
              <w:rPr>
                <w:b/>
                <w:sz w:val="22"/>
              </w:rPr>
              <w:t>Number</w:t>
            </w:r>
          </w:p>
        </w:tc>
        <w:tc>
          <w:tcPr>
            <w:tcW w:w="2620" w:type="dxa"/>
          </w:tcPr>
          <w:p>
            <w:pPr>
              <w:pStyle w:val="TableParagraph"/>
              <w:spacing w:line="242" w:lineRule="exact" w:before="1"/>
              <w:ind w:left="9"/>
              <w:jc w:val="center"/>
              <w:rPr>
                <w:b/>
                <w:sz w:val="22"/>
              </w:rPr>
            </w:pPr>
            <w:r>
              <w:rPr>
                <w:b/>
                <w:sz w:val="22"/>
              </w:rPr>
              <w:t>%</w:t>
            </w:r>
          </w:p>
        </w:tc>
      </w:tr>
      <w:tr>
        <w:trPr>
          <w:trHeight w:val="503" w:hRule="atLeast"/>
        </w:trPr>
        <w:tc>
          <w:tcPr>
            <w:tcW w:w="3398" w:type="dxa"/>
          </w:tcPr>
          <w:p>
            <w:pPr>
              <w:pStyle w:val="TableParagraph"/>
              <w:spacing w:before="1"/>
              <w:ind w:left="112"/>
              <w:rPr>
                <w:sz w:val="22"/>
              </w:rPr>
            </w:pPr>
            <w:r>
              <w:rPr>
                <w:sz w:val="22"/>
              </w:rPr>
              <w:t>1-unit detached structure</w:t>
            </w:r>
          </w:p>
        </w:tc>
        <w:tc>
          <w:tcPr>
            <w:tcW w:w="3332" w:type="dxa"/>
          </w:tcPr>
          <w:p>
            <w:pPr>
              <w:pStyle w:val="TableParagraph"/>
              <w:spacing w:before="1"/>
              <w:ind w:right="100"/>
              <w:jc w:val="right"/>
              <w:rPr>
                <w:sz w:val="22"/>
              </w:rPr>
            </w:pPr>
            <w:r>
              <w:rPr>
                <w:sz w:val="22"/>
              </w:rPr>
              <w:t>12,615</w:t>
            </w:r>
          </w:p>
        </w:tc>
        <w:tc>
          <w:tcPr>
            <w:tcW w:w="2620" w:type="dxa"/>
          </w:tcPr>
          <w:p>
            <w:pPr>
              <w:pStyle w:val="TableParagraph"/>
              <w:spacing w:before="1"/>
              <w:ind w:right="100"/>
              <w:jc w:val="right"/>
              <w:rPr>
                <w:sz w:val="22"/>
              </w:rPr>
            </w:pPr>
            <w:r>
              <w:rPr>
                <w:sz w:val="22"/>
              </w:rPr>
              <w:t>36%</w:t>
            </w:r>
          </w:p>
        </w:tc>
      </w:tr>
      <w:tr>
        <w:trPr>
          <w:trHeight w:val="503" w:hRule="atLeast"/>
        </w:trPr>
        <w:tc>
          <w:tcPr>
            <w:tcW w:w="3398" w:type="dxa"/>
          </w:tcPr>
          <w:p>
            <w:pPr>
              <w:pStyle w:val="TableParagraph"/>
              <w:spacing w:before="1"/>
              <w:ind w:left="112"/>
              <w:rPr>
                <w:sz w:val="22"/>
              </w:rPr>
            </w:pPr>
            <w:r>
              <w:rPr>
                <w:sz w:val="22"/>
              </w:rPr>
              <w:t>1-unit, attached structure</w:t>
            </w:r>
          </w:p>
        </w:tc>
        <w:tc>
          <w:tcPr>
            <w:tcW w:w="3332" w:type="dxa"/>
          </w:tcPr>
          <w:p>
            <w:pPr>
              <w:pStyle w:val="TableParagraph"/>
              <w:spacing w:before="1"/>
              <w:ind w:right="100"/>
              <w:jc w:val="right"/>
              <w:rPr>
                <w:sz w:val="22"/>
              </w:rPr>
            </w:pPr>
            <w:r>
              <w:rPr>
                <w:sz w:val="22"/>
              </w:rPr>
              <w:t>3,110</w:t>
            </w:r>
          </w:p>
        </w:tc>
        <w:tc>
          <w:tcPr>
            <w:tcW w:w="2620" w:type="dxa"/>
          </w:tcPr>
          <w:p>
            <w:pPr>
              <w:pStyle w:val="TableParagraph"/>
              <w:spacing w:before="1"/>
              <w:ind w:right="100"/>
              <w:jc w:val="right"/>
              <w:rPr>
                <w:sz w:val="22"/>
              </w:rPr>
            </w:pPr>
            <w:r>
              <w:rPr>
                <w:sz w:val="22"/>
              </w:rPr>
              <w:t>9%</w:t>
            </w:r>
          </w:p>
        </w:tc>
      </w:tr>
      <w:tr>
        <w:trPr>
          <w:trHeight w:val="503" w:hRule="atLeast"/>
        </w:trPr>
        <w:tc>
          <w:tcPr>
            <w:tcW w:w="3398" w:type="dxa"/>
          </w:tcPr>
          <w:p>
            <w:pPr>
              <w:pStyle w:val="TableParagraph"/>
              <w:spacing w:before="1"/>
              <w:ind w:left="112"/>
              <w:rPr>
                <w:sz w:val="22"/>
              </w:rPr>
            </w:pPr>
            <w:r>
              <w:rPr>
                <w:sz w:val="22"/>
              </w:rPr>
              <w:t>2-4 units</w:t>
            </w:r>
          </w:p>
        </w:tc>
        <w:tc>
          <w:tcPr>
            <w:tcW w:w="3332" w:type="dxa"/>
          </w:tcPr>
          <w:p>
            <w:pPr>
              <w:pStyle w:val="TableParagraph"/>
              <w:spacing w:before="1"/>
              <w:ind w:right="100"/>
              <w:jc w:val="right"/>
              <w:rPr>
                <w:sz w:val="22"/>
              </w:rPr>
            </w:pPr>
            <w:r>
              <w:rPr>
                <w:sz w:val="22"/>
              </w:rPr>
              <w:t>3,905</w:t>
            </w:r>
          </w:p>
        </w:tc>
        <w:tc>
          <w:tcPr>
            <w:tcW w:w="2620" w:type="dxa"/>
          </w:tcPr>
          <w:p>
            <w:pPr>
              <w:pStyle w:val="TableParagraph"/>
              <w:spacing w:before="1"/>
              <w:ind w:right="100"/>
              <w:jc w:val="right"/>
              <w:rPr>
                <w:sz w:val="22"/>
              </w:rPr>
            </w:pPr>
            <w:r>
              <w:rPr>
                <w:sz w:val="22"/>
              </w:rPr>
              <w:t>11%</w:t>
            </w:r>
          </w:p>
        </w:tc>
      </w:tr>
      <w:tr>
        <w:trPr>
          <w:trHeight w:val="503" w:hRule="atLeast"/>
        </w:trPr>
        <w:tc>
          <w:tcPr>
            <w:tcW w:w="3398" w:type="dxa"/>
          </w:tcPr>
          <w:p>
            <w:pPr>
              <w:pStyle w:val="TableParagraph"/>
              <w:spacing w:before="1"/>
              <w:ind w:left="112"/>
              <w:rPr>
                <w:sz w:val="22"/>
              </w:rPr>
            </w:pPr>
            <w:r>
              <w:rPr>
                <w:sz w:val="22"/>
              </w:rPr>
              <w:t>5-19 units</w:t>
            </w:r>
          </w:p>
        </w:tc>
        <w:tc>
          <w:tcPr>
            <w:tcW w:w="3332" w:type="dxa"/>
          </w:tcPr>
          <w:p>
            <w:pPr>
              <w:pStyle w:val="TableParagraph"/>
              <w:spacing w:before="1"/>
              <w:ind w:right="100"/>
              <w:jc w:val="right"/>
              <w:rPr>
                <w:sz w:val="22"/>
              </w:rPr>
            </w:pPr>
            <w:r>
              <w:rPr>
                <w:sz w:val="22"/>
              </w:rPr>
              <w:t>9,585</w:t>
            </w:r>
          </w:p>
        </w:tc>
        <w:tc>
          <w:tcPr>
            <w:tcW w:w="2620" w:type="dxa"/>
          </w:tcPr>
          <w:p>
            <w:pPr>
              <w:pStyle w:val="TableParagraph"/>
              <w:spacing w:before="1"/>
              <w:ind w:right="100"/>
              <w:jc w:val="right"/>
              <w:rPr>
                <w:sz w:val="22"/>
              </w:rPr>
            </w:pPr>
            <w:r>
              <w:rPr>
                <w:sz w:val="22"/>
              </w:rPr>
              <w:t>27%</w:t>
            </w:r>
          </w:p>
        </w:tc>
      </w:tr>
      <w:tr>
        <w:trPr>
          <w:trHeight w:val="503" w:hRule="atLeast"/>
        </w:trPr>
        <w:tc>
          <w:tcPr>
            <w:tcW w:w="3398" w:type="dxa"/>
          </w:tcPr>
          <w:p>
            <w:pPr>
              <w:pStyle w:val="TableParagraph"/>
              <w:spacing w:before="1"/>
              <w:ind w:left="112"/>
              <w:rPr>
                <w:sz w:val="22"/>
              </w:rPr>
            </w:pPr>
            <w:r>
              <w:rPr>
                <w:sz w:val="22"/>
              </w:rPr>
              <w:t>20 or more units</w:t>
            </w:r>
          </w:p>
        </w:tc>
        <w:tc>
          <w:tcPr>
            <w:tcW w:w="3332" w:type="dxa"/>
          </w:tcPr>
          <w:p>
            <w:pPr>
              <w:pStyle w:val="TableParagraph"/>
              <w:spacing w:before="1"/>
              <w:ind w:right="100"/>
              <w:jc w:val="right"/>
              <w:rPr>
                <w:sz w:val="22"/>
              </w:rPr>
            </w:pPr>
            <w:r>
              <w:rPr>
                <w:sz w:val="22"/>
              </w:rPr>
              <w:t>4,990</w:t>
            </w:r>
          </w:p>
        </w:tc>
        <w:tc>
          <w:tcPr>
            <w:tcW w:w="2620" w:type="dxa"/>
          </w:tcPr>
          <w:p>
            <w:pPr>
              <w:pStyle w:val="TableParagraph"/>
              <w:spacing w:before="1"/>
              <w:ind w:right="100"/>
              <w:jc w:val="right"/>
              <w:rPr>
                <w:sz w:val="22"/>
              </w:rPr>
            </w:pPr>
            <w:r>
              <w:rPr>
                <w:sz w:val="22"/>
              </w:rPr>
              <w:t>14%</w:t>
            </w:r>
          </w:p>
        </w:tc>
      </w:tr>
      <w:tr>
        <w:trPr>
          <w:trHeight w:val="503" w:hRule="atLeast"/>
        </w:trPr>
        <w:tc>
          <w:tcPr>
            <w:tcW w:w="3398" w:type="dxa"/>
          </w:tcPr>
          <w:p>
            <w:pPr>
              <w:pStyle w:val="TableParagraph"/>
              <w:spacing w:before="1"/>
              <w:ind w:left="112"/>
              <w:rPr>
                <w:sz w:val="22"/>
              </w:rPr>
            </w:pPr>
            <w:r>
              <w:rPr>
                <w:sz w:val="22"/>
              </w:rPr>
              <w:t>Mobile Home, boat, RV, van, etc</w:t>
            </w:r>
          </w:p>
        </w:tc>
        <w:tc>
          <w:tcPr>
            <w:tcW w:w="3332" w:type="dxa"/>
          </w:tcPr>
          <w:p>
            <w:pPr>
              <w:pStyle w:val="TableParagraph"/>
              <w:spacing w:before="1"/>
              <w:ind w:right="100"/>
              <w:jc w:val="right"/>
              <w:rPr>
                <w:sz w:val="22"/>
              </w:rPr>
            </w:pPr>
            <w:r>
              <w:rPr>
                <w:sz w:val="22"/>
              </w:rPr>
              <w:t>1,050</w:t>
            </w:r>
          </w:p>
        </w:tc>
        <w:tc>
          <w:tcPr>
            <w:tcW w:w="2620" w:type="dxa"/>
          </w:tcPr>
          <w:p>
            <w:pPr>
              <w:pStyle w:val="TableParagraph"/>
              <w:spacing w:before="1"/>
              <w:ind w:right="100"/>
              <w:jc w:val="right"/>
              <w:rPr>
                <w:sz w:val="22"/>
              </w:rPr>
            </w:pPr>
            <w:r>
              <w:rPr>
                <w:sz w:val="22"/>
              </w:rPr>
              <w:t>3%</w:t>
            </w:r>
          </w:p>
        </w:tc>
      </w:tr>
      <w:tr>
        <w:trPr>
          <w:trHeight w:val="418" w:hRule="atLeast"/>
        </w:trPr>
        <w:tc>
          <w:tcPr>
            <w:tcW w:w="3398" w:type="dxa"/>
          </w:tcPr>
          <w:p>
            <w:pPr>
              <w:pStyle w:val="TableParagraph"/>
              <w:spacing w:line="192" w:lineRule="exact"/>
              <w:ind w:left="112"/>
              <w:rPr>
                <w:rFonts w:ascii="Verdana"/>
                <w:b/>
                <w:i/>
                <w:sz w:val="16"/>
              </w:rPr>
            </w:pPr>
            <w:r>
              <w:rPr>
                <w:rFonts w:ascii="Verdana"/>
                <w:b/>
                <w:i/>
                <w:sz w:val="16"/>
              </w:rPr>
              <w:t>Total</w:t>
            </w:r>
          </w:p>
        </w:tc>
        <w:tc>
          <w:tcPr>
            <w:tcW w:w="3332" w:type="dxa"/>
          </w:tcPr>
          <w:p>
            <w:pPr>
              <w:pStyle w:val="TableParagraph"/>
              <w:spacing w:line="192" w:lineRule="exact"/>
              <w:ind w:right="100"/>
              <w:jc w:val="right"/>
              <w:rPr>
                <w:rFonts w:ascii="Verdana"/>
                <w:b/>
                <w:i/>
                <w:sz w:val="16"/>
              </w:rPr>
            </w:pPr>
            <w:r>
              <w:rPr>
                <w:rFonts w:ascii="Verdana"/>
                <w:b/>
                <w:i/>
                <w:sz w:val="16"/>
              </w:rPr>
              <w:t>35,255</w:t>
            </w:r>
          </w:p>
        </w:tc>
        <w:tc>
          <w:tcPr>
            <w:tcW w:w="2620" w:type="dxa"/>
          </w:tcPr>
          <w:p>
            <w:pPr>
              <w:pStyle w:val="TableParagraph"/>
              <w:spacing w:line="192" w:lineRule="exact"/>
              <w:ind w:right="100"/>
              <w:jc w:val="right"/>
              <w:rPr>
                <w:rFonts w:ascii="Verdana"/>
                <w:b/>
                <w:i/>
                <w:sz w:val="16"/>
              </w:rPr>
            </w:pPr>
            <w:r>
              <w:rPr>
                <w:rFonts w:ascii="Verdana"/>
                <w:b/>
                <w:i/>
                <w:sz w:val="16"/>
              </w:rPr>
              <w:t>100%</w:t>
            </w:r>
          </w:p>
        </w:tc>
      </w:tr>
    </w:tbl>
    <w:p>
      <w:pPr>
        <w:spacing w:after="0" w:line="192" w:lineRule="exact"/>
        <w:jc w:val="right"/>
        <w:rPr>
          <w:rFonts w:ascii="Verdana"/>
          <w:sz w:val="16"/>
        </w:rPr>
        <w:sectPr>
          <w:headerReference w:type="default" r:id="rId33"/>
          <w:footerReference w:type="default" r:id="rId34"/>
          <w:pgSz w:w="15840" w:h="12240" w:orient="landscape"/>
          <w:pgMar w:header="0" w:footer="1072" w:top="1140" w:bottom="1260" w:left="1320" w:right="1320"/>
          <w:pgNumType w:start="60"/>
        </w:sectPr>
      </w:pPr>
    </w:p>
    <w:p>
      <w:pPr>
        <w:pStyle w:val="BodyText"/>
        <w:spacing w:before="1"/>
        <w:rPr>
          <w:b/>
          <w:sz w:val="19"/>
        </w:rPr>
      </w:pPr>
    </w:p>
    <w:p>
      <w:pPr>
        <w:spacing w:before="0"/>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2016-2020 ACS</w:t>
      </w:r>
    </w:p>
    <w:p>
      <w:pPr>
        <w:spacing w:before="0"/>
        <w:ind w:left="235" w:right="0" w:firstLine="0"/>
        <w:jc w:val="left"/>
        <w:rPr>
          <w:rFonts w:ascii="Arial" w:hAnsi="Arial"/>
          <w:b/>
          <w:sz w:val="20"/>
        </w:rPr>
      </w:pPr>
      <w:r>
        <w:rPr/>
        <w:br w:type="column"/>
      </w:r>
      <w:r>
        <w:rPr>
          <w:rFonts w:ascii="Arial" w:hAnsi="Arial"/>
          <w:b/>
          <w:sz w:val="20"/>
        </w:rPr>
        <w:t>Table 31 – Residential Properties by Unit Number</w:t>
      </w:r>
    </w:p>
    <w:p>
      <w:pPr>
        <w:spacing w:after="0"/>
        <w:jc w:val="left"/>
        <w:rPr>
          <w:rFonts w:ascii="Arial" w:hAnsi="Arial"/>
          <w:sz w:val="20"/>
        </w:rPr>
        <w:sectPr>
          <w:type w:val="continuous"/>
          <w:pgSz w:w="15840" w:h="12240" w:orient="landscape"/>
          <w:pgMar w:top="1340" w:bottom="1520" w:left="1320" w:right="1320"/>
          <w:cols w:num="3" w:equalWidth="0">
            <w:col w:w="772" w:space="292"/>
            <w:col w:w="1261" w:space="1701"/>
            <w:col w:w="9174"/>
          </w:cols>
        </w:sectPr>
      </w:pPr>
    </w:p>
    <w:p>
      <w:pPr>
        <w:pStyle w:val="BodyText"/>
        <w:rPr>
          <w:rFonts w:ascii="Arial"/>
          <w:b/>
          <w:sz w:val="20"/>
        </w:rPr>
      </w:pPr>
    </w:p>
    <w:p>
      <w:pPr>
        <w:pStyle w:val="BodyText"/>
        <w:spacing w:before="9"/>
        <w:rPr>
          <w:rFonts w:ascii="Arial"/>
          <w:b/>
        </w:rPr>
      </w:pPr>
    </w:p>
    <w:p>
      <w:pPr>
        <w:pStyle w:val="Heading4"/>
        <w:spacing w:before="52"/>
        <w:ind w:left="120"/>
      </w:pPr>
      <w:r>
        <w:rPr/>
        <w:t>Unit Size by Tenure</w:t>
      </w:r>
    </w:p>
    <w:p>
      <w:pPr>
        <w:pStyle w:val="BodyText"/>
        <w:spacing w:before="7" w:after="1"/>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63"/>
        <w:gridCol w:w="1760"/>
        <w:gridCol w:w="1527"/>
        <w:gridCol w:w="1723"/>
        <w:gridCol w:w="1677"/>
      </w:tblGrid>
      <w:tr>
        <w:trPr>
          <w:trHeight w:val="263" w:hRule="atLeast"/>
        </w:trPr>
        <w:tc>
          <w:tcPr>
            <w:tcW w:w="2663" w:type="dxa"/>
            <w:vMerge w:val="restart"/>
          </w:tcPr>
          <w:p>
            <w:pPr>
              <w:pStyle w:val="TableParagraph"/>
              <w:rPr>
                <w:rFonts w:ascii="Times New Roman"/>
                <w:sz w:val="22"/>
              </w:rPr>
            </w:pPr>
          </w:p>
        </w:tc>
        <w:tc>
          <w:tcPr>
            <w:tcW w:w="3287" w:type="dxa"/>
            <w:gridSpan w:val="2"/>
          </w:tcPr>
          <w:p>
            <w:pPr>
              <w:pStyle w:val="TableParagraph"/>
              <w:spacing w:line="242" w:lineRule="exact" w:before="1"/>
              <w:ind w:left="1267" w:right="1257"/>
              <w:jc w:val="center"/>
              <w:rPr>
                <w:b/>
                <w:sz w:val="22"/>
              </w:rPr>
            </w:pPr>
            <w:r>
              <w:rPr>
                <w:b/>
                <w:sz w:val="22"/>
              </w:rPr>
              <w:t>Owners</w:t>
            </w:r>
          </w:p>
        </w:tc>
        <w:tc>
          <w:tcPr>
            <w:tcW w:w="3400" w:type="dxa"/>
            <w:gridSpan w:val="2"/>
          </w:tcPr>
          <w:p>
            <w:pPr>
              <w:pStyle w:val="TableParagraph"/>
              <w:spacing w:line="242" w:lineRule="exact" w:before="1"/>
              <w:ind w:left="1324" w:right="1315"/>
              <w:jc w:val="center"/>
              <w:rPr>
                <w:b/>
                <w:sz w:val="22"/>
              </w:rPr>
            </w:pPr>
            <w:r>
              <w:rPr>
                <w:b/>
                <w:sz w:val="22"/>
              </w:rPr>
              <w:t>Renters</w:t>
            </w:r>
          </w:p>
        </w:tc>
      </w:tr>
      <w:tr>
        <w:trPr>
          <w:trHeight w:val="263" w:hRule="atLeast"/>
        </w:trPr>
        <w:tc>
          <w:tcPr>
            <w:tcW w:w="2663" w:type="dxa"/>
            <w:vMerge/>
            <w:tcBorders>
              <w:top w:val="nil"/>
            </w:tcBorders>
          </w:tcPr>
          <w:p>
            <w:pPr>
              <w:rPr>
                <w:sz w:val="2"/>
                <w:szCs w:val="2"/>
              </w:rPr>
            </w:pPr>
          </w:p>
        </w:tc>
        <w:tc>
          <w:tcPr>
            <w:tcW w:w="1760" w:type="dxa"/>
          </w:tcPr>
          <w:p>
            <w:pPr>
              <w:pStyle w:val="TableParagraph"/>
              <w:spacing w:line="242" w:lineRule="exact" w:before="1"/>
              <w:ind w:left="503"/>
              <w:rPr>
                <w:b/>
                <w:sz w:val="22"/>
              </w:rPr>
            </w:pPr>
            <w:r>
              <w:rPr>
                <w:b/>
                <w:sz w:val="22"/>
              </w:rPr>
              <w:t>Number</w:t>
            </w:r>
          </w:p>
        </w:tc>
        <w:tc>
          <w:tcPr>
            <w:tcW w:w="1527" w:type="dxa"/>
          </w:tcPr>
          <w:p>
            <w:pPr>
              <w:pStyle w:val="TableParagraph"/>
              <w:spacing w:line="242" w:lineRule="exact" w:before="1"/>
              <w:ind w:left="10"/>
              <w:jc w:val="center"/>
              <w:rPr>
                <w:b/>
                <w:sz w:val="22"/>
              </w:rPr>
            </w:pPr>
            <w:r>
              <w:rPr>
                <w:b/>
                <w:sz w:val="22"/>
              </w:rPr>
              <w:t>%</w:t>
            </w:r>
          </w:p>
        </w:tc>
        <w:tc>
          <w:tcPr>
            <w:tcW w:w="1723" w:type="dxa"/>
          </w:tcPr>
          <w:p>
            <w:pPr>
              <w:pStyle w:val="TableParagraph"/>
              <w:spacing w:line="242" w:lineRule="exact" w:before="1"/>
              <w:ind w:left="484"/>
              <w:rPr>
                <w:b/>
                <w:sz w:val="22"/>
              </w:rPr>
            </w:pPr>
            <w:r>
              <w:rPr>
                <w:b/>
                <w:sz w:val="22"/>
              </w:rPr>
              <w:t>Number</w:t>
            </w:r>
          </w:p>
        </w:tc>
        <w:tc>
          <w:tcPr>
            <w:tcW w:w="1677" w:type="dxa"/>
          </w:tcPr>
          <w:p>
            <w:pPr>
              <w:pStyle w:val="TableParagraph"/>
              <w:spacing w:line="242" w:lineRule="exact" w:before="1"/>
              <w:ind w:left="10"/>
              <w:jc w:val="center"/>
              <w:rPr>
                <w:b/>
                <w:sz w:val="22"/>
              </w:rPr>
            </w:pPr>
            <w:r>
              <w:rPr>
                <w:b/>
                <w:sz w:val="22"/>
              </w:rPr>
              <w:t>%</w:t>
            </w:r>
          </w:p>
        </w:tc>
      </w:tr>
      <w:tr>
        <w:trPr>
          <w:trHeight w:val="503" w:hRule="atLeast"/>
        </w:trPr>
        <w:tc>
          <w:tcPr>
            <w:tcW w:w="2663" w:type="dxa"/>
          </w:tcPr>
          <w:p>
            <w:pPr>
              <w:pStyle w:val="TableParagraph"/>
              <w:spacing w:before="1"/>
              <w:ind w:left="112"/>
              <w:rPr>
                <w:sz w:val="22"/>
              </w:rPr>
            </w:pPr>
            <w:r>
              <w:rPr>
                <w:sz w:val="22"/>
              </w:rPr>
              <w:t>No bedroom</w:t>
            </w:r>
          </w:p>
        </w:tc>
        <w:tc>
          <w:tcPr>
            <w:tcW w:w="1760" w:type="dxa"/>
          </w:tcPr>
          <w:p>
            <w:pPr>
              <w:pStyle w:val="TableParagraph"/>
              <w:spacing w:before="1"/>
              <w:ind w:right="100"/>
              <w:jc w:val="right"/>
              <w:rPr>
                <w:sz w:val="22"/>
              </w:rPr>
            </w:pPr>
            <w:r>
              <w:rPr>
                <w:sz w:val="22"/>
              </w:rPr>
              <w:t>0</w:t>
            </w:r>
          </w:p>
        </w:tc>
        <w:tc>
          <w:tcPr>
            <w:tcW w:w="1527" w:type="dxa"/>
          </w:tcPr>
          <w:p>
            <w:pPr>
              <w:pStyle w:val="TableParagraph"/>
              <w:spacing w:before="1"/>
              <w:ind w:right="100"/>
              <w:jc w:val="right"/>
              <w:rPr>
                <w:sz w:val="22"/>
              </w:rPr>
            </w:pPr>
            <w:r>
              <w:rPr>
                <w:sz w:val="22"/>
              </w:rPr>
              <w:t>0%</w:t>
            </w:r>
          </w:p>
        </w:tc>
        <w:tc>
          <w:tcPr>
            <w:tcW w:w="1723" w:type="dxa"/>
          </w:tcPr>
          <w:p>
            <w:pPr>
              <w:pStyle w:val="TableParagraph"/>
              <w:spacing w:before="1"/>
              <w:ind w:right="100"/>
              <w:jc w:val="right"/>
              <w:rPr>
                <w:sz w:val="22"/>
              </w:rPr>
            </w:pPr>
            <w:r>
              <w:rPr>
                <w:sz w:val="22"/>
              </w:rPr>
              <w:t>1,175</w:t>
            </w:r>
          </w:p>
        </w:tc>
        <w:tc>
          <w:tcPr>
            <w:tcW w:w="1677" w:type="dxa"/>
          </w:tcPr>
          <w:p>
            <w:pPr>
              <w:pStyle w:val="TableParagraph"/>
              <w:spacing w:before="1"/>
              <w:ind w:right="100"/>
              <w:jc w:val="right"/>
              <w:rPr>
                <w:sz w:val="22"/>
              </w:rPr>
            </w:pPr>
            <w:r>
              <w:rPr>
                <w:sz w:val="22"/>
              </w:rPr>
              <w:t>6%</w:t>
            </w:r>
          </w:p>
        </w:tc>
      </w:tr>
      <w:tr>
        <w:trPr>
          <w:trHeight w:val="503" w:hRule="atLeast"/>
        </w:trPr>
        <w:tc>
          <w:tcPr>
            <w:tcW w:w="2663" w:type="dxa"/>
          </w:tcPr>
          <w:p>
            <w:pPr>
              <w:pStyle w:val="TableParagraph"/>
              <w:spacing w:before="1"/>
              <w:ind w:left="112"/>
              <w:rPr>
                <w:sz w:val="22"/>
              </w:rPr>
            </w:pPr>
            <w:r>
              <w:rPr>
                <w:sz w:val="22"/>
              </w:rPr>
              <w:t>1 bedroom</w:t>
            </w:r>
          </w:p>
        </w:tc>
        <w:tc>
          <w:tcPr>
            <w:tcW w:w="1760" w:type="dxa"/>
          </w:tcPr>
          <w:p>
            <w:pPr>
              <w:pStyle w:val="TableParagraph"/>
              <w:spacing w:before="1"/>
              <w:ind w:right="100"/>
              <w:jc w:val="right"/>
              <w:rPr>
                <w:sz w:val="22"/>
              </w:rPr>
            </w:pPr>
            <w:r>
              <w:rPr>
                <w:sz w:val="22"/>
              </w:rPr>
              <w:t>70</w:t>
            </w:r>
          </w:p>
        </w:tc>
        <w:tc>
          <w:tcPr>
            <w:tcW w:w="1527" w:type="dxa"/>
          </w:tcPr>
          <w:p>
            <w:pPr>
              <w:pStyle w:val="TableParagraph"/>
              <w:spacing w:before="1"/>
              <w:ind w:right="100"/>
              <w:jc w:val="right"/>
              <w:rPr>
                <w:sz w:val="22"/>
              </w:rPr>
            </w:pPr>
            <w:r>
              <w:rPr>
                <w:sz w:val="22"/>
              </w:rPr>
              <w:t>1%</w:t>
            </w:r>
          </w:p>
        </w:tc>
        <w:tc>
          <w:tcPr>
            <w:tcW w:w="1723" w:type="dxa"/>
          </w:tcPr>
          <w:p>
            <w:pPr>
              <w:pStyle w:val="TableParagraph"/>
              <w:spacing w:before="1"/>
              <w:ind w:right="100"/>
              <w:jc w:val="right"/>
              <w:rPr>
                <w:sz w:val="22"/>
              </w:rPr>
            </w:pPr>
            <w:r>
              <w:rPr>
                <w:sz w:val="22"/>
              </w:rPr>
              <w:t>5,735</w:t>
            </w:r>
          </w:p>
        </w:tc>
        <w:tc>
          <w:tcPr>
            <w:tcW w:w="1677" w:type="dxa"/>
          </w:tcPr>
          <w:p>
            <w:pPr>
              <w:pStyle w:val="TableParagraph"/>
              <w:spacing w:before="1"/>
              <w:ind w:right="100"/>
              <w:jc w:val="right"/>
              <w:rPr>
                <w:sz w:val="22"/>
              </w:rPr>
            </w:pPr>
            <w:r>
              <w:rPr>
                <w:sz w:val="22"/>
              </w:rPr>
              <w:t>28%</w:t>
            </w:r>
          </w:p>
        </w:tc>
      </w:tr>
    </w:tbl>
    <w:p>
      <w:pPr>
        <w:spacing w:after="0"/>
        <w:jc w:val="right"/>
        <w:rPr>
          <w:sz w:val="22"/>
        </w:rPr>
        <w:sectPr>
          <w:type w:val="continuous"/>
          <w:pgSz w:w="15840" w:h="12240" w:orient="landscape"/>
          <w:pgMar w:top="1340" w:bottom="1520" w:left="1320" w:right="1320"/>
        </w:sectPr>
      </w:pPr>
    </w:p>
    <w:p>
      <w:pPr>
        <w:pStyle w:val="BodyText"/>
        <w:spacing w:before="2"/>
        <w:rPr>
          <w:b/>
          <w:sz w:val="24"/>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63"/>
        <w:gridCol w:w="1760"/>
        <w:gridCol w:w="1527"/>
        <w:gridCol w:w="1723"/>
        <w:gridCol w:w="1677"/>
      </w:tblGrid>
      <w:tr>
        <w:trPr>
          <w:trHeight w:val="503" w:hRule="atLeast"/>
        </w:trPr>
        <w:tc>
          <w:tcPr>
            <w:tcW w:w="2663" w:type="dxa"/>
          </w:tcPr>
          <w:p>
            <w:pPr>
              <w:pStyle w:val="TableParagraph"/>
              <w:spacing w:before="1"/>
              <w:ind w:left="112"/>
              <w:rPr>
                <w:sz w:val="22"/>
              </w:rPr>
            </w:pPr>
            <w:r>
              <w:rPr>
                <w:sz w:val="22"/>
              </w:rPr>
              <w:t>2 bedrooms</w:t>
            </w:r>
          </w:p>
        </w:tc>
        <w:tc>
          <w:tcPr>
            <w:tcW w:w="1760" w:type="dxa"/>
          </w:tcPr>
          <w:p>
            <w:pPr>
              <w:pStyle w:val="TableParagraph"/>
              <w:spacing w:before="1"/>
              <w:ind w:right="100"/>
              <w:jc w:val="right"/>
              <w:rPr>
                <w:sz w:val="22"/>
              </w:rPr>
            </w:pPr>
            <w:r>
              <w:rPr>
                <w:sz w:val="22"/>
              </w:rPr>
              <w:t>2,270</w:t>
            </w:r>
          </w:p>
        </w:tc>
        <w:tc>
          <w:tcPr>
            <w:tcW w:w="1527" w:type="dxa"/>
          </w:tcPr>
          <w:p>
            <w:pPr>
              <w:pStyle w:val="TableParagraph"/>
              <w:spacing w:before="1"/>
              <w:ind w:right="100"/>
              <w:jc w:val="right"/>
              <w:rPr>
                <w:sz w:val="22"/>
              </w:rPr>
            </w:pPr>
            <w:r>
              <w:rPr>
                <w:sz w:val="22"/>
              </w:rPr>
              <w:t>20%</w:t>
            </w:r>
          </w:p>
        </w:tc>
        <w:tc>
          <w:tcPr>
            <w:tcW w:w="1723" w:type="dxa"/>
          </w:tcPr>
          <w:p>
            <w:pPr>
              <w:pStyle w:val="TableParagraph"/>
              <w:spacing w:before="1"/>
              <w:ind w:right="100"/>
              <w:jc w:val="right"/>
              <w:rPr>
                <w:sz w:val="22"/>
              </w:rPr>
            </w:pPr>
            <w:r>
              <w:rPr>
                <w:sz w:val="22"/>
              </w:rPr>
              <w:t>8,070</w:t>
            </w:r>
          </w:p>
        </w:tc>
        <w:tc>
          <w:tcPr>
            <w:tcW w:w="1677" w:type="dxa"/>
          </w:tcPr>
          <w:p>
            <w:pPr>
              <w:pStyle w:val="TableParagraph"/>
              <w:spacing w:before="1"/>
              <w:ind w:right="100"/>
              <w:jc w:val="right"/>
              <w:rPr>
                <w:sz w:val="22"/>
              </w:rPr>
            </w:pPr>
            <w:r>
              <w:rPr>
                <w:sz w:val="22"/>
              </w:rPr>
              <w:t>39%</w:t>
            </w:r>
          </w:p>
        </w:tc>
      </w:tr>
      <w:tr>
        <w:trPr>
          <w:trHeight w:val="503" w:hRule="atLeast"/>
        </w:trPr>
        <w:tc>
          <w:tcPr>
            <w:tcW w:w="2663" w:type="dxa"/>
          </w:tcPr>
          <w:p>
            <w:pPr>
              <w:pStyle w:val="TableParagraph"/>
              <w:spacing w:before="1"/>
              <w:ind w:left="112"/>
              <w:rPr>
                <w:sz w:val="22"/>
              </w:rPr>
            </w:pPr>
            <w:r>
              <w:rPr>
                <w:sz w:val="22"/>
              </w:rPr>
              <w:t>3 or more bedrooms</w:t>
            </w:r>
          </w:p>
        </w:tc>
        <w:tc>
          <w:tcPr>
            <w:tcW w:w="1760" w:type="dxa"/>
          </w:tcPr>
          <w:p>
            <w:pPr>
              <w:pStyle w:val="TableParagraph"/>
              <w:spacing w:before="1"/>
              <w:ind w:right="100"/>
              <w:jc w:val="right"/>
              <w:rPr>
                <w:sz w:val="22"/>
              </w:rPr>
            </w:pPr>
            <w:r>
              <w:rPr>
                <w:sz w:val="22"/>
              </w:rPr>
              <w:t>8,940</w:t>
            </w:r>
          </w:p>
        </w:tc>
        <w:tc>
          <w:tcPr>
            <w:tcW w:w="1527" w:type="dxa"/>
          </w:tcPr>
          <w:p>
            <w:pPr>
              <w:pStyle w:val="TableParagraph"/>
              <w:spacing w:before="1"/>
              <w:ind w:right="100"/>
              <w:jc w:val="right"/>
              <w:rPr>
                <w:sz w:val="22"/>
              </w:rPr>
            </w:pPr>
            <w:r>
              <w:rPr>
                <w:sz w:val="22"/>
              </w:rPr>
              <w:t>79%</w:t>
            </w:r>
          </w:p>
        </w:tc>
        <w:tc>
          <w:tcPr>
            <w:tcW w:w="1723" w:type="dxa"/>
          </w:tcPr>
          <w:p>
            <w:pPr>
              <w:pStyle w:val="TableParagraph"/>
              <w:spacing w:before="1"/>
              <w:ind w:right="100"/>
              <w:jc w:val="right"/>
              <w:rPr>
                <w:sz w:val="22"/>
              </w:rPr>
            </w:pPr>
            <w:r>
              <w:rPr>
                <w:sz w:val="22"/>
              </w:rPr>
              <w:t>5,725</w:t>
            </w:r>
          </w:p>
        </w:tc>
        <w:tc>
          <w:tcPr>
            <w:tcW w:w="1677" w:type="dxa"/>
          </w:tcPr>
          <w:p>
            <w:pPr>
              <w:pStyle w:val="TableParagraph"/>
              <w:spacing w:before="1"/>
              <w:ind w:right="100"/>
              <w:jc w:val="right"/>
              <w:rPr>
                <w:sz w:val="22"/>
              </w:rPr>
            </w:pPr>
            <w:r>
              <w:rPr>
                <w:sz w:val="22"/>
              </w:rPr>
              <w:t>28%</w:t>
            </w:r>
          </w:p>
        </w:tc>
      </w:tr>
      <w:tr>
        <w:trPr>
          <w:trHeight w:val="418" w:hRule="atLeast"/>
        </w:trPr>
        <w:tc>
          <w:tcPr>
            <w:tcW w:w="2663" w:type="dxa"/>
          </w:tcPr>
          <w:p>
            <w:pPr>
              <w:pStyle w:val="TableParagraph"/>
              <w:spacing w:line="192" w:lineRule="exact"/>
              <w:ind w:left="112"/>
              <w:rPr>
                <w:rFonts w:ascii="Verdana"/>
                <w:b/>
                <w:i/>
                <w:sz w:val="16"/>
              </w:rPr>
            </w:pPr>
            <w:r>
              <w:rPr>
                <w:rFonts w:ascii="Verdana"/>
                <w:b/>
                <w:i/>
                <w:sz w:val="16"/>
              </w:rPr>
              <w:t>Total</w:t>
            </w:r>
          </w:p>
        </w:tc>
        <w:tc>
          <w:tcPr>
            <w:tcW w:w="1760" w:type="dxa"/>
          </w:tcPr>
          <w:p>
            <w:pPr>
              <w:pStyle w:val="TableParagraph"/>
              <w:spacing w:line="192" w:lineRule="exact"/>
              <w:ind w:right="100"/>
              <w:jc w:val="right"/>
              <w:rPr>
                <w:rFonts w:ascii="Verdana"/>
                <w:b/>
                <w:i/>
                <w:sz w:val="16"/>
              </w:rPr>
            </w:pPr>
            <w:r>
              <w:rPr>
                <w:rFonts w:ascii="Verdana"/>
                <w:b/>
                <w:i/>
                <w:sz w:val="16"/>
              </w:rPr>
              <w:t>11,280</w:t>
            </w:r>
          </w:p>
        </w:tc>
        <w:tc>
          <w:tcPr>
            <w:tcW w:w="1527" w:type="dxa"/>
          </w:tcPr>
          <w:p>
            <w:pPr>
              <w:pStyle w:val="TableParagraph"/>
              <w:spacing w:line="192" w:lineRule="exact"/>
              <w:ind w:right="100"/>
              <w:jc w:val="right"/>
              <w:rPr>
                <w:rFonts w:ascii="Verdana"/>
                <w:b/>
                <w:i/>
                <w:sz w:val="16"/>
              </w:rPr>
            </w:pPr>
            <w:r>
              <w:rPr>
                <w:rFonts w:ascii="Verdana"/>
                <w:b/>
                <w:i/>
                <w:sz w:val="16"/>
              </w:rPr>
              <w:t>100%</w:t>
            </w:r>
          </w:p>
        </w:tc>
        <w:tc>
          <w:tcPr>
            <w:tcW w:w="1723" w:type="dxa"/>
          </w:tcPr>
          <w:p>
            <w:pPr>
              <w:pStyle w:val="TableParagraph"/>
              <w:spacing w:line="192" w:lineRule="exact"/>
              <w:ind w:right="100"/>
              <w:jc w:val="right"/>
              <w:rPr>
                <w:rFonts w:ascii="Verdana"/>
                <w:b/>
                <w:i/>
                <w:sz w:val="16"/>
              </w:rPr>
            </w:pPr>
            <w:r>
              <w:rPr>
                <w:rFonts w:ascii="Verdana"/>
                <w:b/>
                <w:i/>
                <w:sz w:val="16"/>
              </w:rPr>
              <w:t>20,705</w:t>
            </w:r>
          </w:p>
        </w:tc>
        <w:tc>
          <w:tcPr>
            <w:tcW w:w="1677" w:type="dxa"/>
          </w:tcPr>
          <w:p>
            <w:pPr>
              <w:pStyle w:val="TableParagraph"/>
              <w:spacing w:line="192" w:lineRule="exact"/>
              <w:ind w:right="100"/>
              <w:jc w:val="right"/>
              <w:rPr>
                <w:rFonts w:ascii="Verdana"/>
                <w:b/>
                <w:i/>
                <w:sz w:val="16"/>
              </w:rPr>
            </w:pPr>
            <w:r>
              <w:rPr>
                <w:rFonts w:ascii="Verdana"/>
                <w:b/>
                <w:i/>
                <w:sz w:val="16"/>
              </w:rPr>
              <w:t>101%</w:t>
            </w:r>
          </w:p>
        </w:tc>
      </w:tr>
    </w:tbl>
    <w:p>
      <w:pPr>
        <w:spacing w:after="0" w:line="192" w:lineRule="exact"/>
        <w:jc w:val="right"/>
        <w:rPr>
          <w:rFonts w:ascii="Verdana"/>
          <w:sz w:val="16"/>
        </w:rPr>
        <w:sectPr>
          <w:headerReference w:type="default" r:id="rId35"/>
          <w:footerReference w:type="default" r:id="rId36"/>
          <w:pgSz w:w="15840" w:h="12240" w:orient="landscape"/>
          <w:pgMar w:header="0" w:footer="1072" w:top="1140" w:bottom="1260" w:left="1320" w:right="1320"/>
          <w:pgNumType w:start="61"/>
        </w:sectPr>
      </w:pPr>
    </w:p>
    <w:p>
      <w:pPr>
        <w:pStyle w:val="BodyText"/>
        <w:spacing w:before="1"/>
        <w:rPr>
          <w:b/>
          <w:sz w:val="19"/>
        </w:rPr>
      </w:pPr>
    </w:p>
    <w:p>
      <w:pPr>
        <w:spacing w:before="0"/>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2016-2020 ACS</w:t>
      </w:r>
    </w:p>
    <w:p>
      <w:pPr>
        <w:spacing w:before="0"/>
        <w:ind w:left="235" w:right="0" w:firstLine="0"/>
        <w:jc w:val="left"/>
        <w:rPr>
          <w:rFonts w:ascii="Arial" w:hAnsi="Arial"/>
          <w:b/>
          <w:sz w:val="20"/>
        </w:rPr>
      </w:pPr>
      <w:r>
        <w:rPr/>
        <w:br w:type="column"/>
      </w:r>
      <w:r>
        <w:rPr>
          <w:rFonts w:ascii="Arial" w:hAnsi="Arial"/>
          <w:b/>
          <w:sz w:val="20"/>
        </w:rPr>
        <w:t>Table 32 – Unit Size by Tenure</w:t>
      </w:r>
    </w:p>
    <w:p>
      <w:pPr>
        <w:spacing w:after="0"/>
        <w:jc w:val="left"/>
        <w:rPr>
          <w:rFonts w:ascii="Arial" w:hAnsi="Arial"/>
          <w:sz w:val="20"/>
        </w:rPr>
        <w:sectPr>
          <w:type w:val="continuous"/>
          <w:pgSz w:w="15840" w:h="12240" w:orient="landscape"/>
          <w:pgMar w:top="1340" w:bottom="1520" w:left="1320" w:right="1320"/>
          <w:cols w:num="3" w:equalWidth="0">
            <w:col w:w="772" w:space="292"/>
            <w:col w:w="1261" w:space="2601"/>
            <w:col w:w="8274"/>
          </w:cols>
        </w:sectPr>
      </w:pPr>
    </w:p>
    <w:p>
      <w:pPr>
        <w:pStyle w:val="BodyText"/>
        <w:rPr>
          <w:rFonts w:ascii="Arial"/>
          <w:b/>
          <w:sz w:val="20"/>
        </w:rPr>
      </w:pPr>
    </w:p>
    <w:p>
      <w:pPr>
        <w:pStyle w:val="BodyText"/>
        <w:spacing w:before="9"/>
        <w:rPr>
          <w:rFonts w:ascii="Arial"/>
          <w:b/>
        </w:rPr>
      </w:pPr>
    </w:p>
    <w:p>
      <w:pPr>
        <w:pStyle w:val="Heading4"/>
        <w:spacing w:before="52"/>
        <w:ind w:left="120"/>
      </w:pPr>
      <w:r>
        <w:rPr/>
        <w:t>Describe the number and targeting (income level/type of family served) of units assisted with federal, state, and local programs.</w:t>
      </w:r>
    </w:p>
    <w:p>
      <w:pPr>
        <w:pStyle w:val="BodyText"/>
        <w:spacing w:before="12"/>
        <w:rPr>
          <w:b/>
          <w:sz w:val="19"/>
        </w:rPr>
      </w:pPr>
    </w:p>
    <w:p>
      <w:pPr>
        <w:pStyle w:val="BodyText"/>
        <w:spacing w:line="276" w:lineRule="auto"/>
        <w:ind w:left="120" w:right="119"/>
      </w:pPr>
      <w:r>
        <w:rPr/>
        <w:t>Bloomington’s residential housing stock comprises 35,255 units, with the majority being 1-unit detached homes (36%) and multi-family structures with 5–19 units (27%). Housing programs will focus on maintaining and expanding affordable options to meet the needs of low- to moderate-income families, individuals, and vulnerable populations. Data indicates that rental housing constitutes a significant portion of Bloomington’s housing market, with 20,705 rental units compared to 11,280 owner-occupied units. Renters are predominantly housed in smaller units:</w:t>
      </w:r>
    </w:p>
    <w:p>
      <w:pPr>
        <w:pStyle w:val="ListParagraph"/>
        <w:numPr>
          <w:ilvl w:val="1"/>
          <w:numId w:val="7"/>
        </w:numPr>
        <w:tabs>
          <w:tab w:pos="839" w:val="left" w:leader="none"/>
          <w:tab w:pos="840" w:val="left" w:leader="none"/>
        </w:tabs>
        <w:spacing w:line="364" w:lineRule="exact" w:before="167" w:after="0"/>
        <w:ind w:left="840" w:right="0" w:hanging="360"/>
        <w:jc w:val="left"/>
        <w:rPr>
          <w:rFonts w:ascii="Arial Unicode MS" w:hAnsi="Arial Unicode MS"/>
          <w:sz w:val="22"/>
        </w:rPr>
      </w:pPr>
      <w:r>
        <w:rPr>
          <w:sz w:val="22"/>
        </w:rPr>
        <w:t>67% of rental units are either 1-bedroom (28%) or 2-bedroom (39%), suitable for smaller households.</w:t>
      </w:r>
    </w:p>
    <w:p>
      <w:pPr>
        <w:pStyle w:val="ListParagraph"/>
        <w:numPr>
          <w:ilvl w:val="1"/>
          <w:numId w:val="7"/>
        </w:numPr>
        <w:tabs>
          <w:tab w:pos="839" w:val="left" w:leader="none"/>
          <w:tab w:pos="840" w:val="left" w:leader="none"/>
        </w:tabs>
        <w:spacing w:line="364" w:lineRule="exact" w:before="0" w:after="0"/>
        <w:ind w:left="840" w:right="0" w:hanging="360"/>
        <w:jc w:val="left"/>
        <w:rPr>
          <w:rFonts w:ascii="Arial Unicode MS" w:hAnsi="Arial Unicode MS"/>
          <w:sz w:val="22"/>
        </w:rPr>
      </w:pPr>
      <w:r>
        <w:rPr>
          <w:sz w:val="22"/>
        </w:rPr>
        <w:t>Only 28% of rental units have 3 or more bedrooms, indicating limited options for larger families.</w:t>
      </w:r>
    </w:p>
    <w:p>
      <w:pPr>
        <w:pStyle w:val="BodyText"/>
        <w:spacing w:line="276" w:lineRule="auto" w:before="194"/>
        <w:ind w:left="120" w:right="227"/>
      </w:pPr>
      <w:r>
        <w:rPr/>
        <w:t>Meanwhile, the majority of owner-occupied homes (79%) have 3 or more bedrooms, reflecting a stronger alignment with family housing needs. However, affordability remains a concern for lower-income families, given the disparity between unit availability and financial accessibility.</w:t>
      </w:r>
    </w:p>
    <w:p>
      <w:pPr>
        <w:pStyle w:val="BodyText"/>
        <w:spacing w:before="5"/>
        <w:rPr>
          <w:sz w:val="16"/>
        </w:rPr>
      </w:pPr>
    </w:p>
    <w:p>
      <w:pPr>
        <w:pStyle w:val="BodyText"/>
        <w:spacing w:line="276" w:lineRule="auto"/>
        <w:ind w:left="120" w:right="814"/>
      </w:pPr>
      <w:r>
        <w:rPr/>
        <w:t>To address these needs, Bloomington will allocate federal programs like HOME and CDBG funding, alongside state and local resources, to support:</w:t>
      </w:r>
    </w:p>
    <w:p>
      <w:pPr>
        <w:pStyle w:val="BodyText"/>
        <w:spacing w:before="4"/>
        <w:rPr>
          <w:sz w:val="16"/>
        </w:rPr>
      </w:pPr>
    </w:p>
    <w:p>
      <w:pPr>
        <w:pStyle w:val="ListParagraph"/>
        <w:numPr>
          <w:ilvl w:val="0"/>
          <w:numId w:val="8"/>
        </w:numPr>
        <w:tabs>
          <w:tab w:pos="840" w:val="left" w:leader="none"/>
        </w:tabs>
        <w:spacing w:line="240" w:lineRule="auto" w:before="1" w:after="0"/>
        <w:ind w:left="840" w:right="0" w:hanging="360"/>
        <w:jc w:val="left"/>
        <w:rPr>
          <w:sz w:val="22"/>
        </w:rPr>
      </w:pPr>
      <w:r>
        <w:rPr>
          <w:sz w:val="22"/>
        </w:rPr>
        <w:t>Rental Assistance and Development:</w:t>
      </w:r>
    </w:p>
    <w:p>
      <w:pPr>
        <w:pStyle w:val="BodyText"/>
        <w:spacing w:before="8"/>
        <w:rPr>
          <w:sz w:val="19"/>
        </w:rPr>
      </w:pPr>
    </w:p>
    <w:p>
      <w:pPr>
        <w:pStyle w:val="ListParagraph"/>
        <w:numPr>
          <w:ilvl w:val="1"/>
          <w:numId w:val="8"/>
        </w:numPr>
        <w:tabs>
          <w:tab w:pos="1559" w:val="left" w:leader="none"/>
          <w:tab w:pos="1560" w:val="left" w:leader="none"/>
        </w:tabs>
        <w:spacing w:line="240" w:lineRule="auto" w:before="0" w:after="0"/>
        <w:ind w:left="1560" w:right="0" w:hanging="360"/>
        <w:jc w:val="left"/>
        <w:rPr>
          <w:sz w:val="22"/>
        </w:rPr>
      </w:pPr>
      <w:r>
        <w:rPr>
          <w:sz w:val="22"/>
        </w:rPr>
        <w:t>Increasing affordable units for low-income renters</w:t>
      </w:r>
    </w:p>
    <w:p>
      <w:pPr>
        <w:pStyle w:val="BodyText"/>
        <w:spacing w:before="8"/>
        <w:rPr>
          <w:sz w:val="19"/>
        </w:rPr>
      </w:pPr>
    </w:p>
    <w:p>
      <w:pPr>
        <w:pStyle w:val="ListParagraph"/>
        <w:numPr>
          <w:ilvl w:val="1"/>
          <w:numId w:val="8"/>
        </w:numPr>
        <w:tabs>
          <w:tab w:pos="1559" w:val="left" w:leader="none"/>
          <w:tab w:pos="1560" w:val="left" w:leader="none"/>
        </w:tabs>
        <w:spacing w:line="240" w:lineRule="auto" w:before="0" w:after="0"/>
        <w:ind w:left="1560" w:right="0" w:hanging="360"/>
        <w:jc w:val="left"/>
        <w:rPr>
          <w:sz w:val="22"/>
        </w:rPr>
      </w:pPr>
      <w:r>
        <w:rPr>
          <w:sz w:val="22"/>
        </w:rPr>
        <w:t>Expanding units for extremely low-income households, including those earning below 30% of the area median income (AMI).</w:t>
      </w:r>
    </w:p>
    <w:p>
      <w:pPr>
        <w:spacing w:after="0" w:line="240" w:lineRule="auto"/>
        <w:jc w:val="left"/>
        <w:rPr>
          <w:sz w:val="22"/>
        </w:rPr>
        <w:sectPr>
          <w:type w:val="continuous"/>
          <w:pgSz w:w="15840" w:h="12240" w:orient="landscape"/>
          <w:pgMar w:top="1340" w:bottom="1520" w:left="1320" w:right="1320"/>
        </w:sectPr>
      </w:pPr>
    </w:p>
    <w:p>
      <w:pPr>
        <w:pStyle w:val="BodyText"/>
        <w:spacing w:before="4"/>
        <w:rPr>
          <w:sz w:val="20"/>
        </w:rPr>
      </w:pPr>
    </w:p>
    <w:p>
      <w:pPr>
        <w:pStyle w:val="ListParagraph"/>
        <w:numPr>
          <w:ilvl w:val="0"/>
          <w:numId w:val="8"/>
        </w:numPr>
        <w:tabs>
          <w:tab w:pos="840" w:val="left" w:leader="none"/>
        </w:tabs>
        <w:spacing w:line="240" w:lineRule="auto" w:before="56" w:after="0"/>
        <w:ind w:left="840" w:right="0" w:hanging="360"/>
        <w:jc w:val="left"/>
        <w:rPr>
          <w:sz w:val="22"/>
        </w:rPr>
      </w:pPr>
      <w:r>
        <w:rPr>
          <w:sz w:val="22"/>
        </w:rPr>
        <w:t>Family Housing:</w:t>
      </w:r>
    </w:p>
    <w:p>
      <w:pPr>
        <w:pStyle w:val="BodyText"/>
        <w:spacing w:before="8"/>
        <w:rPr>
          <w:sz w:val="19"/>
        </w:rPr>
      </w:pPr>
    </w:p>
    <w:p>
      <w:pPr>
        <w:pStyle w:val="ListParagraph"/>
        <w:numPr>
          <w:ilvl w:val="1"/>
          <w:numId w:val="8"/>
        </w:numPr>
        <w:tabs>
          <w:tab w:pos="1559" w:val="left" w:leader="none"/>
          <w:tab w:pos="1560" w:val="left" w:leader="none"/>
        </w:tabs>
        <w:spacing w:line="240" w:lineRule="auto" w:before="0" w:after="0"/>
        <w:ind w:left="1560" w:right="0" w:hanging="360"/>
        <w:jc w:val="left"/>
        <w:rPr>
          <w:sz w:val="22"/>
        </w:rPr>
      </w:pPr>
      <w:r>
        <w:rPr>
          <w:sz w:val="22"/>
        </w:rPr>
        <w:t>Targeting the construction or rehabilitation of larger rental units (3+ bedrooms) for families.</w:t>
      </w:r>
    </w:p>
    <w:p>
      <w:pPr>
        <w:pStyle w:val="BodyText"/>
        <w:spacing w:before="8"/>
        <w:rPr>
          <w:sz w:val="19"/>
        </w:rPr>
      </w:pPr>
    </w:p>
    <w:p>
      <w:pPr>
        <w:pStyle w:val="ListParagraph"/>
        <w:numPr>
          <w:ilvl w:val="1"/>
          <w:numId w:val="8"/>
        </w:numPr>
        <w:tabs>
          <w:tab w:pos="1559" w:val="left" w:leader="none"/>
          <w:tab w:pos="1560" w:val="left" w:leader="none"/>
        </w:tabs>
        <w:spacing w:line="240" w:lineRule="auto" w:before="0" w:after="0"/>
        <w:ind w:left="1560" w:right="0" w:hanging="360"/>
        <w:jc w:val="left"/>
        <w:rPr>
          <w:sz w:val="22"/>
        </w:rPr>
      </w:pPr>
      <w:r>
        <w:rPr>
          <w:sz w:val="22"/>
        </w:rPr>
        <w:t>Collaborating with nonprofit developers to prioritize housing for families with children and multigenerational households.</w:t>
      </w:r>
    </w:p>
    <w:p>
      <w:pPr>
        <w:pStyle w:val="BodyText"/>
        <w:spacing w:before="9"/>
        <w:rPr>
          <w:sz w:val="19"/>
        </w:rPr>
      </w:pPr>
    </w:p>
    <w:p>
      <w:pPr>
        <w:pStyle w:val="ListParagraph"/>
        <w:numPr>
          <w:ilvl w:val="0"/>
          <w:numId w:val="8"/>
        </w:numPr>
        <w:tabs>
          <w:tab w:pos="840" w:val="left" w:leader="none"/>
        </w:tabs>
        <w:spacing w:line="240" w:lineRule="auto" w:before="0" w:after="0"/>
        <w:ind w:left="840" w:right="0" w:hanging="360"/>
        <w:jc w:val="left"/>
        <w:rPr>
          <w:sz w:val="22"/>
        </w:rPr>
      </w:pPr>
      <w:r>
        <w:rPr>
          <w:sz w:val="22"/>
        </w:rPr>
        <w:t>Special Populations:</w:t>
      </w:r>
    </w:p>
    <w:p>
      <w:pPr>
        <w:pStyle w:val="BodyText"/>
        <w:spacing w:before="8"/>
        <w:rPr>
          <w:sz w:val="19"/>
        </w:rPr>
      </w:pPr>
    </w:p>
    <w:p>
      <w:pPr>
        <w:pStyle w:val="ListParagraph"/>
        <w:numPr>
          <w:ilvl w:val="1"/>
          <w:numId w:val="8"/>
        </w:numPr>
        <w:tabs>
          <w:tab w:pos="1559" w:val="left" w:leader="none"/>
          <w:tab w:pos="1560" w:val="left" w:leader="none"/>
        </w:tabs>
        <w:spacing w:line="276" w:lineRule="auto" w:before="0" w:after="0"/>
        <w:ind w:left="1560" w:right="393" w:hanging="360"/>
        <w:jc w:val="left"/>
        <w:rPr>
          <w:sz w:val="22"/>
        </w:rPr>
      </w:pPr>
      <w:r>
        <w:rPr>
          <w:sz w:val="22"/>
        </w:rPr>
        <w:t>Addressing the needs of seniors, individuals with disabilities, and homeless populations by promoting accessible housing </w:t>
      </w:r>
      <w:r>
        <w:rPr>
          <w:spacing w:val="-4"/>
          <w:sz w:val="22"/>
        </w:rPr>
        <w:t>units </w:t>
      </w:r>
      <w:r>
        <w:rPr>
          <w:sz w:val="22"/>
        </w:rPr>
        <w:t>and transitional housing options.</w:t>
      </w:r>
    </w:p>
    <w:p>
      <w:pPr>
        <w:pStyle w:val="BodyText"/>
        <w:spacing w:before="5"/>
        <w:rPr>
          <w:sz w:val="16"/>
        </w:rPr>
      </w:pPr>
    </w:p>
    <w:p>
      <w:pPr>
        <w:pStyle w:val="ListParagraph"/>
        <w:numPr>
          <w:ilvl w:val="0"/>
          <w:numId w:val="8"/>
        </w:numPr>
        <w:tabs>
          <w:tab w:pos="840" w:val="left" w:leader="none"/>
        </w:tabs>
        <w:spacing w:line="240" w:lineRule="auto" w:before="0" w:after="0"/>
        <w:ind w:left="840" w:right="0" w:hanging="360"/>
        <w:jc w:val="left"/>
        <w:rPr>
          <w:sz w:val="22"/>
        </w:rPr>
      </w:pPr>
      <w:r>
        <w:rPr>
          <w:sz w:val="22"/>
        </w:rPr>
        <w:t>Preservation of Affordable Homeownership:</w:t>
      </w:r>
    </w:p>
    <w:p>
      <w:pPr>
        <w:pStyle w:val="BodyText"/>
        <w:spacing w:before="8"/>
        <w:rPr>
          <w:sz w:val="19"/>
        </w:rPr>
      </w:pPr>
    </w:p>
    <w:p>
      <w:pPr>
        <w:pStyle w:val="ListParagraph"/>
        <w:numPr>
          <w:ilvl w:val="1"/>
          <w:numId w:val="8"/>
        </w:numPr>
        <w:tabs>
          <w:tab w:pos="1559" w:val="left" w:leader="none"/>
          <w:tab w:pos="1560" w:val="left" w:leader="none"/>
        </w:tabs>
        <w:spacing w:line="276" w:lineRule="auto" w:before="0" w:after="0"/>
        <w:ind w:left="1560" w:right="221" w:hanging="360"/>
        <w:jc w:val="left"/>
        <w:rPr>
          <w:sz w:val="22"/>
        </w:rPr>
      </w:pPr>
      <w:r>
        <w:rPr>
          <w:sz w:val="22"/>
        </w:rPr>
        <w:t>Assisting low- and moderate-income households in accessing and maintaining ownership of 2–4 unit and detached </w:t>
      </w:r>
      <w:r>
        <w:rPr>
          <w:spacing w:val="-2"/>
          <w:sz w:val="22"/>
        </w:rPr>
        <w:t>single-family </w:t>
      </w:r>
      <w:r>
        <w:rPr>
          <w:sz w:val="22"/>
        </w:rPr>
        <w:t>homes.</w:t>
      </w:r>
    </w:p>
    <w:p>
      <w:pPr>
        <w:pStyle w:val="BodyText"/>
        <w:spacing w:before="5"/>
        <w:rPr>
          <w:sz w:val="16"/>
        </w:rPr>
      </w:pPr>
    </w:p>
    <w:p>
      <w:pPr>
        <w:pStyle w:val="BodyText"/>
        <w:ind w:left="120"/>
      </w:pPr>
      <w:r>
        <w:rPr/>
        <w:t>Anticipated Outcomes</w:t>
      </w:r>
    </w:p>
    <w:p>
      <w:pPr>
        <w:pStyle w:val="BodyText"/>
        <w:spacing w:before="8"/>
        <w:rPr>
          <w:sz w:val="19"/>
        </w:rPr>
      </w:pPr>
    </w:p>
    <w:p>
      <w:pPr>
        <w:pStyle w:val="BodyText"/>
        <w:ind w:left="120"/>
      </w:pPr>
      <w:r>
        <w:rPr/>
        <w:t>Over the 2025–2029 period, Bloomington aims to assist the development or rehabilitation of 500–700 units, with approximately:</w:t>
      </w:r>
    </w:p>
    <w:p>
      <w:pPr>
        <w:pStyle w:val="BodyText"/>
        <w:spacing w:before="6"/>
        <w:rPr>
          <w:sz w:val="17"/>
        </w:rPr>
      </w:pPr>
    </w:p>
    <w:p>
      <w:pPr>
        <w:pStyle w:val="ListParagraph"/>
        <w:numPr>
          <w:ilvl w:val="1"/>
          <w:numId w:val="7"/>
        </w:numPr>
        <w:tabs>
          <w:tab w:pos="839" w:val="left" w:leader="none"/>
          <w:tab w:pos="840" w:val="left" w:leader="none"/>
        </w:tabs>
        <w:spacing w:line="240" w:lineRule="auto" w:before="0" w:after="0"/>
        <w:ind w:left="840" w:right="0" w:hanging="360"/>
        <w:jc w:val="left"/>
        <w:rPr>
          <w:rFonts w:ascii="Arial Unicode MS" w:hAnsi="Arial Unicode MS"/>
          <w:sz w:val="20"/>
        </w:rPr>
      </w:pPr>
      <w:r>
        <w:rPr>
          <w:sz w:val="22"/>
        </w:rPr>
        <w:t>50% targeted toward rental housing for very low- to moderate-income households.</w:t>
      </w:r>
    </w:p>
    <w:p>
      <w:pPr>
        <w:pStyle w:val="ListParagraph"/>
        <w:numPr>
          <w:ilvl w:val="1"/>
          <w:numId w:val="7"/>
        </w:numPr>
        <w:tabs>
          <w:tab w:pos="839" w:val="left" w:leader="none"/>
          <w:tab w:pos="840" w:val="left" w:leader="none"/>
        </w:tabs>
        <w:spacing w:line="240" w:lineRule="auto" w:before="165" w:after="0"/>
        <w:ind w:left="840" w:right="0" w:hanging="360"/>
        <w:jc w:val="left"/>
        <w:rPr>
          <w:rFonts w:ascii="Arial Unicode MS" w:hAnsi="Arial Unicode MS"/>
          <w:sz w:val="20"/>
        </w:rPr>
      </w:pPr>
      <w:r>
        <w:rPr>
          <w:sz w:val="22"/>
        </w:rPr>
        <w:t>40% focused on family housing with 2+ bedrooms.</w:t>
      </w:r>
    </w:p>
    <w:p>
      <w:pPr>
        <w:pStyle w:val="ListParagraph"/>
        <w:numPr>
          <w:ilvl w:val="1"/>
          <w:numId w:val="7"/>
        </w:numPr>
        <w:tabs>
          <w:tab w:pos="839" w:val="left" w:leader="none"/>
          <w:tab w:pos="840" w:val="left" w:leader="none"/>
        </w:tabs>
        <w:spacing w:line="240" w:lineRule="auto" w:before="166" w:after="0"/>
        <w:ind w:left="840" w:right="0" w:hanging="360"/>
        <w:jc w:val="left"/>
        <w:rPr>
          <w:rFonts w:ascii="Arial Unicode MS" w:hAnsi="Arial Unicode MS"/>
          <w:sz w:val="20"/>
        </w:rPr>
      </w:pPr>
      <w:r>
        <w:rPr>
          <w:sz w:val="22"/>
        </w:rPr>
        <w:t>10% designated for accessible or supportive housing for seniors and individuals with disabilities.</w:t>
      </w:r>
    </w:p>
    <w:p>
      <w:pPr>
        <w:pStyle w:val="BodyText"/>
        <w:spacing w:line="276" w:lineRule="auto" w:before="191"/>
        <w:ind w:left="120" w:right="440"/>
      </w:pPr>
      <w:r>
        <w:rPr/>
        <w:t>Bloomington’s housing strategies will prioritize equitable access to housing for all income levels, emphasizing sustainability and community stability. By aligning investments with demonstrated needs, the city aims to reduce housing cost burdens and foster inclusive neighborhoods.</w:t>
      </w:r>
    </w:p>
    <w:p>
      <w:pPr>
        <w:pStyle w:val="BodyText"/>
        <w:spacing w:before="5"/>
        <w:rPr>
          <w:sz w:val="16"/>
        </w:rPr>
      </w:pPr>
    </w:p>
    <w:p>
      <w:pPr>
        <w:pStyle w:val="Heading4"/>
        <w:spacing w:line="276" w:lineRule="auto"/>
        <w:ind w:left="120" w:right="478"/>
      </w:pPr>
      <w:r>
        <w:rPr/>
        <w:t>Provide an assessment of units expected to be lost from the affordable housing inventory for any reason, such as expiration of Section 8 contracts.</w:t>
      </w:r>
    </w:p>
    <w:p>
      <w:pPr>
        <w:pStyle w:val="BodyText"/>
        <w:spacing w:before="200"/>
        <w:ind w:left="120"/>
      </w:pPr>
      <w:r>
        <w:rPr/>
        <w:t>Bloomington does not anticipate any loss of housing at this time.</w:t>
      </w:r>
    </w:p>
    <w:p>
      <w:pPr>
        <w:spacing w:after="0"/>
        <w:sectPr>
          <w:headerReference w:type="default" r:id="rId37"/>
          <w:footerReference w:type="default" r:id="rId38"/>
          <w:pgSz w:w="15840" w:h="12240" w:orient="landscape"/>
          <w:pgMar w:header="0" w:footer="1072" w:top="1140" w:bottom="1260" w:left="1320" w:right="1320"/>
          <w:pgNumType w:start="62"/>
        </w:sectPr>
      </w:pPr>
    </w:p>
    <w:p>
      <w:pPr>
        <w:pStyle w:val="BodyText"/>
        <w:spacing w:before="8"/>
        <w:rPr>
          <w:sz w:val="20"/>
        </w:rPr>
      </w:pPr>
    </w:p>
    <w:p>
      <w:pPr>
        <w:pStyle w:val="Heading4"/>
        <w:spacing w:before="52"/>
        <w:ind w:left="120"/>
      </w:pPr>
      <w:r>
        <w:rPr/>
        <w:t>Does the availability of housing units meet the needs of the population?</w:t>
      </w:r>
    </w:p>
    <w:p>
      <w:pPr>
        <w:pStyle w:val="BodyText"/>
        <w:spacing w:before="11"/>
        <w:rPr>
          <w:b/>
          <w:sz w:val="19"/>
        </w:rPr>
      </w:pPr>
    </w:p>
    <w:p>
      <w:pPr>
        <w:pStyle w:val="BodyText"/>
        <w:spacing w:line="276" w:lineRule="auto" w:before="1"/>
        <w:ind w:left="120" w:right="176"/>
      </w:pPr>
      <w:r>
        <w:rPr/>
        <w:t>The majority of owner-occupied units (79%) have 3 or more bedrooms, which aligns well with the needs of larger families or those seeking more space. However, smaller owner-occupied units are rare (20% are 2-bedroom units, and 1% are 1-bedroom units), potentially excluding single- person households or smaller families from ownership opportunities.</w:t>
      </w:r>
    </w:p>
    <w:p>
      <w:pPr>
        <w:pStyle w:val="BodyText"/>
        <w:spacing w:before="4"/>
        <w:rPr>
          <w:sz w:val="16"/>
        </w:rPr>
      </w:pPr>
    </w:p>
    <w:p>
      <w:pPr>
        <w:pStyle w:val="BodyText"/>
        <w:spacing w:line="276" w:lineRule="auto"/>
        <w:ind w:left="120" w:right="369"/>
      </w:pPr>
      <w:r>
        <w:rPr/>
        <w:t>Rental units are more diverse, with a strong representation of smaller units. About 67% of rental units are 1- or 2-bedroom units, which likely meet the needs of smaller households and individuals. However, only 28% of rental units have 3 or more bedrooms, limiting options for larger families in the rental market. The City’s Unified Development Ordinance does allow higher density housing when units are set-aside for households earning 80-120% AMI; however, many of these workforce housing units target household at 100-120% AMI, leaving a need for moderate income housing.</w:t>
      </w:r>
    </w:p>
    <w:p>
      <w:pPr>
        <w:pStyle w:val="BodyText"/>
        <w:spacing w:before="5"/>
        <w:rPr>
          <w:sz w:val="16"/>
        </w:rPr>
      </w:pPr>
    </w:p>
    <w:p>
      <w:pPr>
        <w:pStyle w:val="BodyText"/>
        <w:spacing w:line="276" w:lineRule="auto"/>
        <w:ind w:left="120" w:right="436"/>
      </w:pPr>
      <w:r>
        <w:rPr/>
        <w:t>Public housing units, which are designed to serve low-income families, seniors, individuals with disabilities, and other vulnerable populations, are critical in addressing housing instability. However, the shortage of these units means that many individuals and families who qualify for affordable housing assistance are left on long waiting lists, unable to access housing that meets their needs.</w:t>
      </w:r>
    </w:p>
    <w:p>
      <w:pPr>
        <w:pStyle w:val="BodyText"/>
        <w:spacing w:before="5"/>
        <w:rPr>
          <w:sz w:val="16"/>
        </w:rPr>
      </w:pPr>
    </w:p>
    <w:p>
      <w:pPr>
        <w:pStyle w:val="Heading4"/>
        <w:ind w:left="120"/>
      </w:pPr>
      <w:r>
        <w:rPr/>
        <w:t>Describe the need for specific types of housing:</w:t>
      </w:r>
    </w:p>
    <w:p>
      <w:pPr>
        <w:pStyle w:val="BodyText"/>
        <w:spacing w:before="12"/>
        <w:rPr>
          <w:b/>
          <w:sz w:val="19"/>
        </w:rPr>
      </w:pPr>
    </w:p>
    <w:p>
      <w:pPr>
        <w:pStyle w:val="BodyText"/>
        <w:spacing w:line="276" w:lineRule="auto"/>
        <w:ind w:left="120" w:right="255"/>
      </w:pPr>
      <w:r>
        <w:rPr/>
        <w:t>There is a pressing need for affordable rental housing, particularly for low- to moderate-income households. Families requiring larger units face challenges due to the limited availability of 3+ bedroom rentals, which account for only 28% of the rental stock. Similarly, affordable homeownership opportunities are scarce for smaller households and first-time buyers, as most owner-occupied homes (79%) are larger, 3+ bedroom units that may be out of financial reach.</w:t>
      </w:r>
    </w:p>
    <w:p>
      <w:pPr>
        <w:pStyle w:val="BodyText"/>
        <w:spacing w:before="4"/>
        <w:rPr>
          <w:sz w:val="16"/>
        </w:rPr>
      </w:pPr>
    </w:p>
    <w:p>
      <w:pPr>
        <w:pStyle w:val="BodyText"/>
        <w:spacing w:line="276" w:lineRule="auto"/>
        <w:ind w:left="120" w:right="250"/>
      </w:pPr>
      <w:r>
        <w:rPr/>
        <w:t>Supportive and accessible housing is increasingly necessary for seniors, individuals with disabilities, and other vulnerable populations, ensuring these groups can live independently in appropriate housing. Additionally, there is a need for transitional and emergency housing to address homelessness and provide stability for individuals and families in crisis. Finally, expanding non-traditional and low-cost housing options, such as mobile homes or small, efficient units, could provide critical relief for very low-income residents. Addressing these gaps will require a focused effort to expand affordability and availability across all housing types.</w:t>
      </w:r>
    </w:p>
    <w:p>
      <w:pPr>
        <w:pStyle w:val="BodyText"/>
        <w:spacing w:before="5"/>
        <w:rPr>
          <w:sz w:val="16"/>
        </w:rPr>
      </w:pPr>
    </w:p>
    <w:p>
      <w:pPr>
        <w:pStyle w:val="Heading4"/>
        <w:ind w:left="120"/>
      </w:pPr>
      <w:r>
        <w:rPr/>
        <w:t>Discussion</w:t>
      </w:r>
    </w:p>
    <w:p>
      <w:pPr>
        <w:spacing w:after="0"/>
        <w:sectPr>
          <w:headerReference w:type="default" r:id="rId39"/>
          <w:footerReference w:type="default" r:id="rId40"/>
          <w:pgSz w:w="15840" w:h="12240" w:orient="landscape"/>
          <w:pgMar w:header="0" w:footer="1072" w:top="1140" w:bottom="1260" w:left="1320" w:right="1320"/>
          <w:pgNumType w:start="63"/>
        </w:sectPr>
      </w:pPr>
    </w:p>
    <w:p>
      <w:pPr>
        <w:pStyle w:val="BodyText"/>
        <w:spacing w:before="4"/>
        <w:rPr>
          <w:b/>
          <w:sz w:val="20"/>
        </w:rPr>
      </w:pPr>
    </w:p>
    <w:p>
      <w:pPr>
        <w:pStyle w:val="BodyText"/>
        <w:spacing w:line="276" w:lineRule="auto" w:before="56"/>
        <w:ind w:left="120" w:right="219"/>
      </w:pPr>
      <w:r>
        <w:rPr/>
        <w:t>The demand for public housing is high, especially for units that incorporate supportive services and accessibility features to meet the diverse needs of Bloomington's low-income and vulnerable populations. Addressing these needs would help reduce housing instability and improve the quality of life for many residents in the community.</w:t>
      </w:r>
    </w:p>
    <w:p>
      <w:pPr>
        <w:spacing w:after="0" w:line="276" w:lineRule="auto"/>
        <w:sectPr>
          <w:headerReference w:type="default" r:id="rId41"/>
          <w:footerReference w:type="default" r:id="rId42"/>
          <w:pgSz w:w="15840" w:h="12240" w:orient="landscape"/>
          <w:pgMar w:header="0" w:footer="1072" w:top="1140" w:bottom="1260" w:left="1320" w:right="1320"/>
          <w:pgNumType w:start="64"/>
        </w:sectPr>
      </w:pPr>
    </w:p>
    <w:p>
      <w:pPr>
        <w:pStyle w:val="BodyText"/>
        <w:rPr>
          <w:sz w:val="20"/>
        </w:rPr>
      </w:pPr>
    </w:p>
    <w:p>
      <w:pPr>
        <w:pStyle w:val="BodyText"/>
        <w:spacing w:before="3"/>
        <w:rPr>
          <w:sz w:val="15"/>
        </w:rPr>
      </w:pPr>
    </w:p>
    <w:p>
      <w:pPr>
        <w:pStyle w:val="Heading1"/>
        <w:spacing w:before="35"/>
        <w:ind w:left="120"/>
      </w:pPr>
      <w:r>
        <w:rPr>
          <w:color w:val="0E4661"/>
        </w:rPr>
        <w:t>MA-15 Housing Market Analysis: Cost of Housing - 91.210(a)</w:t>
      </w:r>
    </w:p>
    <w:p>
      <w:pPr>
        <w:pStyle w:val="Heading4"/>
        <w:spacing w:before="138"/>
        <w:ind w:left="120"/>
      </w:pPr>
      <w:r>
        <w:rPr/>
        <w:t>Introduction</w:t>
      </w:r>
    </w:p>
    <w:p>
      <w:pPr>
        <w:pStyle w:val="BodyText"/>
        <w:spacing w:line="276" w:lineRule="auto" w:before="155"/>
        <w:ind w:left="120" w:right="114"/>
      </w:pPr>
      <w:r>
        <w:rPr/>
        <w:t>The current local housing market is highly unaffordable, with high rent costs and stringent credit requirements, making it difficult for low-income families to secure housing. High land and construction costs, coupled with rising interest rates, make it difficult for builders to break even on developments, further driving up housing prices. This is compounded by a lack of inventory, and many homeowners are hesitant to move due to low interest rates on existing homes. The prevalence of student housing, especially around IU, exacerbates the problem by prioritizing student tenants over families, contributing to the shortage and unaffordability of available housing.</w:t>
      </w:r>
    </w:p>
    <w:p>
      <w:pPr>
        <w:pStyle w:val="BodyText"/>
        <w:spacing w:before="5"/>
        <w:rPr>
          <w:sz w:val="16"/>
        </w:rPr>
      </w:pPr>
    </w:p>
    <w:p>
      <w:pPr>
        <w:pStyle w:val="Heading4"/>
        <w:ind w:left="120"/>
      </w:pPr>
      <w:r>
        <w:rPr/>
        <w:t>Cost of Housing</w:t>
      </w:r>
    </w:p>
    <w:p>
      <w:pPr>
        <w:pStyle w:val="BodyText"/>
        <w:spacing w:before="8"/>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21"/>
        <w:gridCol w:w="2176"/>
        <w:gridCol w:w="2558"/>
        <w:gridCol w:w="1794"/>
      </w:tblGrid>
      <w:tr>
        <w:trPr>
          <w:trHeight w:val="776" w:hRule="atLeast"/>
        </w:trPr>
        <w:tc>
          <w:tcPr>
            <w:tcW w:w="2821" w:type="dxa"/>
          </w:tcPr>
          <w:p>
            <w:pPr>
              <w:pStyle w:val="TableParagraph"/>
              <w:rPr>
                <w:rFonts w:ascii="Times New Roman"/>
                <w:sz w:val="20"/>
              </w:rPr>
            </w:pPr>
          </w:p>
        </w:tc>
        <w:tc>
          <w:tcPr>
            <w:tcW w:w="2176" w:type="dxa"/>
          </w:tcPr>
          <w:p>
            <w:pPr>
              <w:pStyle w:val="TableParagraph"/>
              <w:spacing w:line="250" w:lineRule="exact"/>
              <w:ind w:left="210"/>
              <w:rPr>
                <w:rFonts w:ascii="Arial"/>
                <w:b/>
                <w:sz w:val="22"/>
              </w:rPr>
            </w:pPr>
            <w:r>
              <w:rPr>
                <w:rFonts w:ascii="Arial"/>
                <w:b/>
                <w:sz w:val="22"/>
              </w:rPr>
              <w:t>Base Year: 2009</w:t>
            </w:r>
          </w:p>
        </w:tc>
        <w:tc>
          <w:tcPr>
            <w:tcW w:w="2558" w:type="dxa"/>
          </w:tcPr>
          <w:p>
            <w:pPr>
              <w:pStyle w:val="TableParagraph"/>
              <w:spacing w:line="276" w:lineRule="auto"/>
              <w:ind w:left="1031" w:right="287" w:hanging="715"/>
              <w:rPr>
                <w:rFonts w:ascii="Arial"/>
                <w:b/>
                <w:sz w:val="22"/>
              </w:rPr>
            </w:pPr>
            <w:r>
              <w:rPr>
                <w:rFonts w:ascii="Arial"/>
                <w:b/>
                <w:sz w:val="22"/>
              </w:rPr>
              <w:t>Most Recent Year: 2020</w:t>
            </w:r>
          </w:p>
        </w:tc>
        <w:tc>
          <w:tcPr>
            <w:tcW w:w="1794" w:type="dxa"/>
          </w:tcPr>
          <w:p>
            <w:pPr>
              <w:pStyle w:val="TableParagraph"/>
              <w:spacing w:line="250" w:lineRule="exact"/>
              <w:ind w:left="362"/>
              <w:rPr>
                <w:rFonts w:ascii="Arial"/>
                <w:b/>
                <w:sz w:val="22"/>
              </w:rPr>
            </w:pPr>
            <w:r>
              <w:rPr>
                <w:rFonts w:ascii="Arial"/>
                <w:b/>
                <w:sz w:val="22"/>
              </w:rPr>
              <w:t>% Change</w:t>
            </w:r>
          </w:p>
        </w:tc>
      </w:tr>
      <w:tr>
        <w:trPr>
          <w:trHeight w:val="503" w:hRule="atLeast"/>
        </w:trPr>
        <w:tc>
          <w:tcPr>
            <w:tcW w:w="2821" w:type="dxa"/>
          </w:tcPr>
          <w:p>
            <w:pPr>
              <w:pStyle w:val="TableParagraph"/>
              <w:spacing w:before="1"/>
              <w:ind w:left="112"/>
              <w:rPr>
                <w:sz w:val="22"/>
              </w:rPr>
            </w:pPr>
            <w:r>
              <w:rPr>
                <w:sz w:val="22"/>
              </w:rPr>
              <w:t>Median Home Value</w:t>
            </w:r>
          </w:p>
        </w:tc>
        <w:tc>
          <w:tcPr>
            <w:tcW w:w="2176" w:type="dxa"/>
          </w:tcPr>
          <w:p>
            <w:pPr>
              <w:pStyle w:val="TableParagraph"/>
              <w:spacing w:before="1"/>
              <w:ind w:right="100"/>
              <w:jc w:val="right"/>
              <w:rPr>
                <w:sz w:val="22"/>
              </w:rPr>
            </w:pPr>
            <w:r>
              <w:rPr>
                <w:sz w:val="22"/>
              </w:rPr>
              <w:t>173,400</w:t>
            </w:r>
          </w:p>
        </w:tc>
        <w:tc>
          <w:tcPr>
            <w:tcW w:w="2558" w:type="dxa"/>
          </w:tcPr>
          <w:p>
            <w:pPr>
              <w:pStyle w:val="TableParagraph"/>
              <w:spacing w:before="1"/>
              <w:ind w:right="100"/>
              <w:jc w:val="right"/>
              <w:rPr>
                <w:sz w:val="22"/>
              </w:rPr>
            </w:pPr>
            <w:r>
              <w:rPr>
                <w:sz w:val="22"/>
              </w:rPr>
              <w:t>219,200</w:t>
            </w:r>
          </w:p>
        </w:tc>
        <w:tc>
          <w:tcPr>
            <w:tcW w:w="1794" w:type="dxa"/>
          </w:tcPr>
          <w:p>
            <w:pPr>
              <w:pStyle w:val="TableParagraph"/>
              <w:spacing w:before="1"/>
              <w:ind w:right="100"/>
              <w:jc w:val="right"/>
              <w:rPr>
                <w:sz w:val="22"/>
              </w:rPr>
            </w:pPr>
            <w:r>
              <w:rPr>
                <w:sz w:val="22"/>
              </w:rPr>
              <w:t>26%</w:t>
            </w:r>
          </w:p>
        </w:tc>
      </w:tr>
      <w:tr>
        <w:trPr>
          <w:trHeight w:val="503" w:hRule="atLeast"/>
        </w:trPr>
        <w:tc>
          <w:tcPr>
            <w:tcW w:w="2821" w:type="dxa"/>
          </w:tcPr>
          <w:p>
            <w:pPr>
              <w:pStyle w:val="TableParagraph"/>
              <w:spacing w:before="1"/>
              <w:ind w:left="112"/>
              <w:rPr>
                <w:sz w:val="22"/>
              </w:rPr>
            </w:pPr>
            <w:r>
              <w:rPr>
                <w:sz w:val="22"/>
              </w:rPr>
              <w:t>Median Contract Rent</w:t>
            </w:r>
          </w:p>
        </w:tc>
        <w:tc>
          <w:tcPr>
            <w:tcW w:w="2176" w:type="dxa"/>
          </w:tcPr>
          <w:p>
            <w:pPr>
              <w:pStyle w:val="TableParagraph"/>
              <w:spacing w:before="1"/>
              <w:ind w:right="100"/>
              <w:jc w:val="right"/>
              <w:rPr>
                <w:sz w:val="22"/>
              </w:rPr>
            </w:pPr>
            <w:r>
              <w:rPr>
                <w:sz w:val="22"/>
              </w:rPr>
              <w:t>704</w:t>
            </w:r>
          </w:p>
        </w:tc>
        <w:tc>
          <w:tcPr>
            <w:tcW w:w="2558" w:type="dxa"/>
          </w:tcPr>
          <w:p>
            <w:pPr>
              <w:pStyle w:val="TableParagraph"/>
              <w:spacing w:before="1"/>
              <w:ind w:right="100"/>
              <w:jc w:val="right"/>
              <w:rPr>
                <w:sz w:val="22"/>
              </w:rPr>
            </w:pPr>
            <w:r>
              <w:rPr>
                <w:sz w:val="22"/>
              </w:rPr>
              <w:t>824</w:t>
            </w:r>
          </w:p>
        </w:tc>
        <w:tc>
          <w:tcPr>
            <w:tcW w:w="1794" w:type="dxa"/>
          </w:tcPr>
          <w:p>
            <w:pPr>
              <w:pStyle w:val="TableParagraph"/>
              <w:spacing w:before="1"/>
              <w:ind w:right="100"/>
              <w:jc w:val="right"/>
              <w:rPr>
                <w:sz w:val="22"/>
              </w:rPr>
            </w:pPr>
            <w:r>
              <w:rPr>
                <w:sz w:val="22"/>
              </w:rPr>
              <w:t>17%</w:t>
            </w:r>
          </w:p>
        </w:tc>
      </w:tr>
    </w:tbl>
    <w:p>
      <w:pPr>
        <w:spacing w:before="0"/>
        <w:ind w:left="3357" w:right="3357" w:firstLine="0"/>
        <w:jc w:val="center"/>
        <w:rPr>
          <w:rFonts w:ascii="Arial" w:hAnsi="Arial"/>
          <w:b/>
          <w:sz w:val="20"/>
        </w:rPr>
      </w:pPr>
      <w:r>
        <w:rPr>
          <w:rFonts w:ascii="Arial" w:hAnsi="Arial"/>
          <w:b/>
          <w:sz w:val="20"/>
        </w:rPr>
        <w:t>Table 33 – Cost of Housing</w:t>
      </w:r>
    </w:p>
    <w:p>
      <w:pPr>
        <w:pStyle w:val="BodyText"/>
        <w:spacing w:before="9"/>
        <w:rPr>
          <w:rFonts w:ascii="Arial"/>
          <w:b/>
          <w:sz w:val="26"/>
        </w:rPr>
      </w:pPr>
    </w:p>
    <w:p>
      <w:pPr>
        <w:tabs>
          <w:tab w:pos="1487" w:val="left" w:leader="none"/>
        </w:tabs>
        <w:spacing w:before="1"/>
        <w:ind w:left="235" w:right="0" w:firstLine="0"/>
        <w:jc w:val="left"/>
        <w:rPr>
          <w:rFonts w:ascii="Arial"/>
          <w:sz w:val="16"/>
        </w:rPr>
      </w:pPr>
      <w:r>
        <w:rPr>
          <w:rFonts w:ascii="Arial"/>
          <w:b/>
          <w:sz w:val="16"/>
        </w:rPr>
        <w:t>Data Source:</w:t>
        <w:tab/>
      </w:r>
      <w:r>
        <w:rPr>
          <w:rFonts w:ascii="Arial"/>
          <w:sz w:val="16"/>
        </w:rPr>
        <w:t>2000 Census (Base Year), 2016-2020 ACS (Most Recent Year)</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0"/>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54"/>
        <w:gridCol w:w="3533"/>
        <w:gridCol w:w="2663"/>
      </w:tblGrid>
      <w:tr>
        <w:trPr>
          <w:trHeight w:val="263" w:hRule="atLeast"/>
        </w:trPr>
        <w:tc>
          <w:tcPr>
            <w:tcW w:w="3154" w:type="dxa"/>
          </w:tcPr>
          <w:p>
            <w:pPr>
              <w:pStyle w:val="TableParagraph"/>
              <w:spacing w:line="242" w:lineRule="exact" w:before="1"/>
              <w:ind w:left="1116" w:right="1106"/>
              <w:jc w:val="center"/>
              <w:rPr>
                <w:b/>
                <w:sz w:val="22"/>
              </w:rPr>
            </w:pPr>
            <w:r>
              <w:rPr>
                <w:b/>
                <w:sz w:val="22"/>
              </w:rPr>
              <w:t>Rent Paid</w:t>
            </w:r>
          </w:p>
        </w:tc>
        <w:tc>
          <w:tcPr>
            <w:tcW w:w="3533" w:type="dxa"/>
          </w:tcPr>
          <w:p>
            <w:pPr>
              <w:pStyle w:val="TableParagraph"/>
              <w:spacing w:line="242" w:lineRule="exact" w:before="1"/>
              <w:ind w:left="1369" w:right="1359"/>
              <w:jc w:val="center"/>
              <w:rPr>
                <w:b/>
                <w:sz w:val="22"/>
              </w:rPr>
            </w:pPr>
            <w:r>
              <w:rPr>
                <w:b/>
                <w:sz w:val="22"/>
              </w:rPr>
              <w:t>Number</w:t>
            </w:r>
          </w:p>
        </w:tc>
        <w:tc>
          <w:tcPr>
            <w:tcW w:w="2663" w:type="dxa"/>
          </w:tcPr>
          <w:p>
            <w:pPr>
              <w:pStyle w:val="TableParagraph"/>
              <w:spacing w:line="242" w:lineRule="exact" w:before="1"/>
              <w:ind w:left="10"/>
              <w:jc w:val="center"/>
              <w:rPr>
                <w:b/>
                <w:sz w:val="22"/>
              </w:rPr>
            </w:pPr>
            <w:r>
              <w:rPr>
                <w:b/>
                <w:sz w:val="22"/>
              </w:rPr>
              <w:t>%</w:t>
            </w:r>
          </w:p>
        </w:tc>
      </w:tr>
      <w:tr>
        <w:trPr>
          <w:trHeight w:val="503" w:hRule="atLeast"/>
        </w:trPr>
        <w:tc>
          <w:tcPr>
            <w:tcW w:w="3154" w:type="dxa"/>
          </w:tcPr>
          <w:p>
            <w:pPr>
              <w:pStyle w:val="TableParagraph"/>
              <w:spacing w:before="1"/>
              <w:ind w:left="112"/>
              <w:rPr>
                <w:sz w:val="22"/>
              </w:rPr>
            </w:pPr>
            <w:r>
              <w:rPr>
                <w:sz w:val="22"/>
              </w:rPr>
              <w:t>Less than $500</w:t>
            </w:r>
          </w:p>
        </w:tc>
        <w:tc>
          <w:tcPr>
            <w:tcW w:w="3533" w:type="dxa"/>
          </w:tcPr>
          <w:p>
            <w:pPr>
              <w:pStyle w:val="TableParagraph"/>
              <w:spacing w:before="1"/>
              <w:ind w:right="100"/>
              <w:jc w:val="right"/>
              <w:rPr>
                <w:sz w:val="22"/>
              </w:rPr>
            </w:pPr>
            <w:r>
              <w:rPr>
                <w:sz w:val="22"/>
              </w:rPr>
              <w:t>2,600</w:t>
            </w:r>
          </w:p>
        </w:tc>
        <w:tc>
          <w:tcPr>
            <w:tcW w:w="2663" w:type="dxa"/>
          </w:tcPr>
          <w:p>
            <w:pPr>
              <w:pStyle w:val="TableParagraph"/>
              <w:spacing w:before="1"/>
              <w:ind w:right="100"/>
              <w:jc w:val="right"/>
              <w:rPr>
                <w:sz w:val="22"/>
              </w:rPr>
            </w:pPr>
            <w:r>
              <w:rPr>
                <w:sz w:val="22"/>
              </w:rPr>
              <w:t>12.6%</w:t>
            </w:r>
          </w:p>
        </w:tc>
      </w:tr>
      <w:tr>
        <w:trPr>
          <w:trHeight w:val="503" w:hRule="atLeast"/>
        </w:trPr>
        <w:tc>
          <w:tcPr>
            <w:tcW w:w="3154" w:type="dxa"/>
          </w:tcPr>
          <w:p>
            <w:pPr>
              <w:pStyle w:val="TableParagraph"/>
              <w:spacing w:before="1"/>
              <w:ind w:left="112"/>
              <w:rPr>
                <w:sz w:val="22"/>
              </w:rPr>
            </w:pPr>
            <w:r>
              <w:rPr>
                <w:sz w:val="22"/>
              </w:rPr>
              <w:t>$500-999</w:t>
            </w:r>
          </w:p>
        </w:tc>
        <w:tc>
          <w:tcPr>
            <w:tcW w:w="3533" w:type="dxa"/>
          </w:tcPr>
          <w:p>
            <w:pPr>
              <w:pStyle w:val="TableParagraph"/>
              <w:spacing w:before="1"/>
              <w:ind w:right="100"/>
              <w:jc w:val="right"/>
              <w:rPr>
                <w:sz w:val="22"/>
              </w:rPr>
            </w:pPr>
            <w:r>
              <w:rPr>
                <w:sz w:val="22"/>
              </w:rPr>
              <w:t>11,415</w:t>
            </w:r>
          </w:p>
        </w:tc>
        <w:tc>
          <w:tcPr>
            <w:tcW w:w="2663" w:type="dxa"/>
          </w:tcPr>
          <w:p>
            <w:pPr>
              <w:pStyle w:val="TableParagraph"/>
              <w:spacing w:before="1"/>
              <w:ind w:right="100"/>
              <w:jc w:val="right"/>
              <w:rPr>
                <w:sz w:val="22"/>
              </w:rPr>
            </w:pPr>
            <w:r>
              <w:rPr>
                <w:sz w:val="22"/>
              </w:rPr>
              <w:t>55.1%</w:t>
            </w:r>
          </w:p>
        </w:tc>
      </w:tr>
      <w:tr>
        <w:trPr>
          <w:trHeight w:val="503" w:hRule="atLeast"/>
        </w:trPr>
        <w:tc>
          <w:tcPr>
            <w:tcW w:w="3154" w:type="dxa"/>
          </w:tcPr>
          <w:p>
            <w:pPr>
              <w:pStyle w:val="TableParagraph"/>
              <w:spacing w:before="1"/>
              <w:ind w:left="112"/>
              <w:rPr>
                <w:sz w:val="22"/>
              </w:rPr>
            </w:pPr>
            <w:r>
              <w:rPr>
                <w:sz w:val="22"/>
              </w:rPr>
              <w:t>$1,000-1,499</w:t>
            </w:r>
          </w:p>
        </w:tc>
        <w:tc>
          <w:tcPr>
            <w:tcW w:w="3533" w:type="dxa"/>
          </w:tcPr>
          <w:p>
            <w:pPr>
              <w:pStyle w:val="TableParagraph"/>
              <w:spacing w:before="1"/>
              <w:ind w:right="100"/>
              <w:jc w:val="right"/>
              <w:rPr>
                <w:sz w:val="22"/>
              </w:rPr>
            </w:pPr>
            <w:r>
              <w:rPr>
                <w:sz w:val="22"/>
              </w:rPr>
              <w:t>4,960</w:t>
            </w:r>
          </w:p>
        </w:tc>
        <w:tc>
          <w:tcPr>
            <w:tcW w:w="2663" w:type="dxa"/>
          </w:tcPr>
          <w:p>
            <w:pPr>
              <w:pStyle w:val="TableParagraph"/>
              <w:spacing w:before="1"/>
              <w:ind w:right="100"/>
              <w:jc w:val="right"/>
              <w:rPr>
                <w:sz w:val="22"/>
              </w:rPr>
            </w:pPr>
            <w:r>
              <w:rPr>
                <w:sz w:val="22"/>
              </w:rPr>
              <w:t>24.0%</w:t>
            </w:r>
          </w:p>
        </w:tc>
      </w:tr>
      <w:tr>
        <w:trPr>
          <w:trHeight w:val="503" w:hRule="atLeast"/>
        </w:trPr>
        <w:tc>
          <w:tcPr>
            <w:tcW w:w="3154" w:type="dxa"/>
          </w:tcPr>
          <w:p>
            <w:pPr>
              <w:pStyle w:val="TableParagraph"/>
              <w:spacing w:before="1"/>
              <w:ind w:left="112"/>
              <w:rPr>
                <w:sz w:val="22"/>
              </w:rPr>
            </w:pPr>
            <w:r>
              <w:rPr>
                <w:sz w:val="22"/>
              </w:rPr>
              <w:t>$1,500-1,999</w:t>
            </w:r>
          </w:p>
        </w:tc>
        <w:tc>
          <w:tcPr>
            <w:tcW w:w="3533" w:type="dxa"/>
          </w:tcPr>
          <w:p>
            <w:pPr>
              <w:pStyle w:val="TableParagraph"/>
              <w:spacing w:before="1"/>
              <w:ind w:right="100"/>
              <w:jc w:val="right"/>
              <w:rPr>
                <w:sz w:val="22"/>
              </w:rPr>
            </w:pPr>
            <w:r>
              <w:rPr>
                <w:sz w:val="22"/>
              </w:rPr>
              <w:t>1,070</w:t>
            </w:r>
          </w:p>
        </w:tc>
        <w:tc>
          <w:tcPr>
            <w:tcW w:w="2663" w:type="dxa"/>
          </w:tcPr>
          <w:p>
            <w:pPr>
              <w:pStyle w:val="TableParagraph"/>
              <w:spacing w:before="1"/>
              <w:ind w:right="100"/>
              <w:jc w:val="right"/>
              <w:rPr>
                <w:sz w:val="22"/>
              </w:rPr>
            </w:pPr>
            <w:r>
              <w:rPr>
                <w:sz w:val="22"/>
              </w:rPr>
              <w:t>5.2%</w:t>
            </w:r>
          </w:p>
        </w:tc>
      </w:tr>
    </w:tbl>
    <w:p>
      <w:pPr>
        <w:spacing w:after="0"/>
        <w:jc w:val="right"/>
        <w:rPr>
          <w:sz w:val="22"/>
        </w:rPr>
        <w:sectPr>
          <w:headerReference w:type="default" r:id="rId43"/>
          <w:footerReference w:type="default" r:id="rId44"/>
          <w:pgSz w:w="15840" w:h="12240" w:orient="landscape"/>
          <w:pgMar w:header="0" w:footer="1072" w:top="1140" w:bottom="1260" w:left="1320" w:right="1320"/>
          <w:pgNumType w:start="65"/>
        </w:sectPr>
      </w:pPr>
    </w:p>
    <w:p>
      <w:pPr>
        <w:pStyle w:val="BodyText"/>
        <w:spacing w:before="7"/>
        <w:rPr>
          <w:rFonts w:ascii="Arial"/>
          <w:sz w:val="25"/>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54"/>
        <w:gridCol w:w="3533"/>
        <w:gridCol w:w="2663"/>
      </w:tblGrid>
      <w:tr>
        <w:trPr>
          <w:trHeight w:val="503" w:hRule="atLeast"/>
        </w:trPr>
        <w:tc>
          <w:tcPr>
            <w:tcW w:w="3154" w:type="dxa"/>
          </w:tcPr>
          <w:p>
            <w:pPr>
              <w:pStyle w:val="TableParagraph"/>
              <w:spacing w:before="1"/>
              <w:ind w:left="112"/>
              <w:rPr>
                <w:sz w:val="22"/>
              </w:rPr>
            </w:pPr>
            <w:r>
              <w:rPr>
                <w:sz w:val="22"/>
              </w:rPr>
              <w:t>$2,000 or more</w:t>
            </w:r>
          </w:p>
        </w:tc>
        <w:tc>
          <w:tcPr>
            <w:tcW w:w="3533" w:type="dxa"/>
          </w:tcPr>
          <w:p>
            <w:pPr>
              <w:pStyle w:val="TableParagraph"/>
              <w:spacing w:before="1"/>
              <w:ind w:right="100"/>
              <w:jc w:val="right"/>
              <w:rPr>
                <w:sz w:val="22"/>
              </w:rPr>
            </w:pPr>
            <w:r>
              <w:rPr>
                <w:sz w:val="22"/>
              </w:rPr>
              <w:t>659</w:t>
            </w:r>
          </w:p>
        </w:tc>
        <w:tc>
          <w:tcPr>
            <w:tcW w:w="2663" w:type="dxa"/>
          </w:tcPr>
          <w:p>
            <w:pPr>
              <w:pStyle w:val="TableParagraph"/>
              <w:spacing w:before="1"/>
              <w:ind w:right="100"/>
              <w:jc w:val="right"/>
              <w:rPr>
                <w:sz w:val="22"/>
              </w:rPr>
            </w:pPr>
            <w:r>
              <w:rPr>
                <w:sz w:val="22"/>
              </w:rPr>
              <w:t>3.2%</w:t>
            </w:r>
          </w:p>
        </w:tc>
      </w:tr>
      <w:tr>
        <w:trPr>
          <w:trHeight w:val="418" w:hRule="atLeast"/>
        </w:trPr>
        <w:tc>
          <w:tcPr>
            <w:tcW w:w="3154" w:type="dxa"/>
          </w:tcPr>
          <w:p>
            <w:pPr>
              <w:pStyle w:val="TableParagraph"/>
              <w:spacing w:line="192" w:lineRule="exact"/>
              <w:ind w:left="112"/>
              <w:rPr>
                <w:rFonts w:ascii="Verdana"/>
                <w:b/>
                <w:i/>
                <w:sz w:val="16"/>
              </w:rPr>
            </w:pPr>
            <w:r>
              <w:rPr>
                <w:rFonts w:ascii="Verdana"/>
                <w:b/>
                <w:i/>
                <w:sz w:val="16"/>
              </w:rPr>
              <w:t>Total</w:t>
            </w:r>
          </w:p>
        </w:tc>
        <w:tc>
          <w:tcPr>
            <w:tcW w:w="3533" w:type="dxa"/>
          </w:tcPr>
          <w:p>
            <w:pPr>
              <w:pStyle w:val="TableParagraph"/>
              <w:spacing w:line="192" w:lineRule="exact"/>
              <w:ind w:right="100"/>
              <w:jc w:val="right"/>
              <w:rPr>
                <w:rFonts w:ascii="Verdana"/>
                <w:b/>
                <w:i/>
                <w:sz w:val="16"/>
              </w:rPr>
            </w:pPr>
            <w:r>
              <w:rPr>
                <w:rFonts w:ascii="Verdana"/>
                <w:b/>
                <w:i/>
                <w:sz w:val="16"/>
              </w:rPr>
              <w:t>20,704</w:t>
            </w:r>
          </w:p>
        </w:tc>
        <w:tc>
          <w:tcPr>
            <w:tcW w:w="2663" w:type="dxa"/>
          </w:tcPr>
          <w:p>
            <w:pPr>
              <w:pStyle w:val="TableParagraph"/>
              <w:spacing w:line="192" w:lineRule="exact"/>
              <w:ind w:right="100"/>
              <w:jc w:val="right"/>
              <w:rPr>
                <w:rFonts w:ascii="Verdana"/>
                <w:b/>
                <w:i/>
                <w:sz w:val="16"/>
              </w:rPr>
            </w:pPr>
            <w:r>
              <w:rPr>
                <w:rFonts w:ascii="Verdana"/>
                <w:b/>
                <w:i/>
                <w:sz w:val="16"/>
              </w:rPr>
              <w:t>100.0%</w:t>
            </w:r>
          </w:p>
        </w:tc>
      </w:tr>
    </w:tbl>
    <w:p>
      <w:pPr>
        <w:spacing w:after="0" w:line="192" w:lineRule="exact"/>
        <w:jc w:val="right"/>
        <w:rPr>
          <w:rFonts w:ascii="Verdana"/>
          <w:sz w:val="16"/>
        </w:rPr>
        <w:sectPr>
          <w:headerReference w:type="default" r:id="rId45"/>
          <w:footerReference w:type="default" r:id="rId46"/>
          <w:pgSz w:w="15840" w:h="12240" w:orient="landscape"/>
          <w:pgMar w:header="0" w:footer="1072" w:top="1140" w:bottom="1260" w:left="1320" w:right="1320"/>
          <w:pgNumType w:start="66"/>
        </w:sectPr>
      </w:pPr>
    </w:p>
    <w:p>
      <w:pPr>
        <w:pStyle w:val="BodyText"/>
        <w:spacing w:before="2"/>
        <w:rPr>
          <w:rFonts w:ascii="Arial"/>
          <w:sz w:val="20"/>
        </w:rPr>
      </w:pPr>
    </w:p>
    <w:p>
      <w:pPr>
        <w:spacing w:before="1"/>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2016-2020 ACS</w:t>
      </w:r>
    </w:p>
    <w:p>
      <w:pPr>
        <w:spacing w:before="0"/>
        <w:ind w:left="235" w:right="0" w:firstLine="0"/>
        <w:jc w:val="left"/>
        <w:rPr>
          <w:rFonts w:ascii="Arial"/>
          <w:b/>
          <w:sz w:val="20"/>
        </w:rPr>
      </w:pPr>
      <w:r>
        <w:rPr/>
        <w:br w:type="column"/>
      </w:r>
      <w:r>
        <w:rPr>
          <w:rFonts w:ascii="Arial"/>
          <w:b/>
          <w:sz w:val="20"/>
        </w:rPr>
        <w:t>Table 34 - Rent Paid</w:t>
      </w:r>
    </w:p>
    <w:p>
      <w:pPr>
        <w:spacing w:after="0"/>
        <w:jc w:val="left"/>
        <w:rPr>
          <w:rFonts w:ascii="Arial"/>
          <w:sz w:val="20"/>
        </w:rPr>
        <w:sectPr>
          <w:type w:val="continuous"/>
          <w:pgSz w:w="15840" w:h="12240" w:orient="landscape"/>
          <w:pgMar w:top="1340" w:bottom="1520" w:left="1320" w:right="1320"/>
          <w:cols w:num="3" w:equalWidth="0">
            <w:col w:w="772" w:space="292"/>
            <w:col w:w="1261" w:space="3090"/>
            <w:col w:w="7785"/>
          </w:cols>
        </w:sectPr>
      </w:pPr>
    </w:p>
    <w:p>
      <w:pPr>
        <w:pStyle w:val="BodyText"/>
        <w:rPr>
          <w:rFonts w:ascii="Arial"/>
          <w:b/>
          <w:sz w:val="20"/>
        </w:rPr>
      </w:pPr>
    </w:p>
    <w:p>
      <w:pPr>
        <w:pStyle w:val="BodyText"/>
        <w:spacing w:before="3"/>
        <w:rPr>
          <w:rFonts w:ascii="Arial"/>
          <w:b/>
          <w:sz w:val="25"/>
        </w:rPr>
      </w:pPr>
    </w:p>
    <w:p>
      <w:pPr>
        <w:pStyle w:val="Heading4"/>
        <w:spacing w:before="52"/>
        <w:ind w:left="120"/>
      </w:pPr>
      <w:r>
        <w:rPr/>
        <w:t>Housing Affordability</w:t>
      </w:r>
    </w:p>
    <w:p>
      <w:pPr>
        <w:pStyle w:val="BodyText"/>
        <w:spacing w:before="7"/>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76"/>
        <w:gridCol w:w="3323"/>
        <w:gridCol w:w="2751"/>
      </w:tblGrid>
      <w:tr>
        <w:trPr>
          <w:trHeight w:val="532" w:hRule="atLeast"/>
        </w:trPr>
        <w:tc>
          <w:tcPr>
            <w:tcW w:w="3276" w:type="dxa"/>
          </w:tcPr>
          <w:p>
            <w:pPr>
              <w:pStyle w:val="TableParagraph"/>
              <w:spacing w:line="270" w:lineRule="atLeast"/>
              <w:ind w:left="704" w:right="225" w:hanging="452"/>
              <w:rPr>
                <w:b/>
                <w:sz w:val="22"/>
              </w:rPr>
            </w:pPr>
            <w:r>
              <w:rPr>
                <w:b/>
                <w:sz w:val="22"/>
              </w:rPr>
              <w:t>Number of Units affordable to Households earning</w:t>
            </w:r>
          </w:p>
        </w:tc>
        <w:tc>
          <w:tcPr>
            <w:tcW w:w="3323" w:type="dxa"/>
          </w:tcPr>
          <w:p>
            <w:pPr>
              <w:pStyle w:val="TableParagraph"/>
              <w:spacing w:before="1"/>
              <w:ind w:left="1329" w:right="1320"/>
              <w:jc w:val="center"/>
              <w:rPr>
                <w:b/>
                <w:sz w:val="22"/>
              </w:rPr>
            </w:pPr>
            <w:r>
              <w:rPr>
                <w:b/>
                <w:sz w:val="22"/>
              </w:rPr>
              <w:t>Renter</w:t>
            </w:r>
          </w:p>
        </w:tc>
        <w:tc>
          <w:tcPr>
            <w:tcW w:w="2751" w:type="dxa"/>
          </w:tcPr>
          <w:p>
            <w:pPr>
              <w:pStyle w:val="TableParagraph"/>
              <w:spacing w:before="1"/>
              <w:ind w:left="1042" w:right="1033"/>
              <w:jc w:val="center"/>
              <w:rPr>
                <w:b/>
                <w:sz w:val="22"/>
              </w:rPr>
            </w:pPr>
            <w:r>
              <w:rPr>
                <w:b/>
                <w:sz w:val="22"/>
              </w:rPr>
              <w:t>Owner</w:t>
            </w:r>
          </w:p>
        </w:tc>
      </w:tr>
      <w:tr>
        <w:trPr>
          <w:trHeight w:val="495" w:hRule="atLeast"/>
        </w:trPr>
        <w:tc>
          <w:tcPr>
            <w:tcW w:w="3276" w:type="dxa"/>
          </w:tcPr>
          <w:p>
            <w:pPr>
              <w:pStyle w:val="TableParagraph"/>
              <w:spacing w:line="262" w:lineRule="exact"/>
              <w:ind w:left="112"/>
              <w:rPr>
                <w:sz w:val="22"/>
              </w:rPr>
            </w:pPr>
            <w:r>
              <w:rPr>
                <w:sz w:val="22"/>
              </w:rPr>
              <w:t>30% HAMFI</w:t>
            </w:r>
          </w:p>
        </w:tc>
        <w:tc>
          <w:tcPr>
            <w:tcW w:w="3323" w:type="dxa"/>
          </w:tcPr>
          <w:p>
            <w:pPr>
              <w:pStyle w:val="TableParagraph"/>
              <w:spacing w:line="262" w:lineRule="exact"/>
              <w:ind w:right="100"/>
              <w:jc w:val="right"/>
              <w:rPr>
                <w:sz w:val="22"/>
              </w:rPr>
            </w:pPr>
            <w:r>
              <w:rPr>
                <w:sz w:val="22"/>
              </w:rPr>
              <w:t>1,575</w:t>
            </w:r>
          </w:p>
        </w:tc>
        <w:tc>
          <w:tcPr>
            <w:tcW w:w="2751" w:type="dxa"/>
          </w:tcPr>
          <w:p>
            <w:pPr>
              <w:pStyle w:val="TableParagraph"/>
              <w:spacing w:line="262" w:lineRule="exact"/>
              <w:ind w:right="100"/>
              <w:jc w:val="right"/>
              <w:rPr>
                <w:sz w:val="22"/>
              </w:rPr>
            </w:pPr>
            <w:r>
              <w:rPr>
                <w:sz w:val="22"/>
              </w:rPr>
              <w:t>No Data</w:t>
            </w:r>
          </w:p>
        </w:tc>
      </w:tr>
      <w:tr>
        <w:trPr>
          <w:trHeight w:val="503" w:hRule="atLeast"/>
        </w:trPr>
        <w:tc>
          <w:tcPr>
            <w:tcW w:w="3276" w:type="dxa"/>
          </w:tcPr>
          <w:p>
            <w:pPr>
              <w:pStyle w:val="TableParagraph"/>
              <w:spacing w:before="1"/>
              <w:ind w:left="112"/>
              <w:rPr>
                <w:sz w:val="22"/>
              </w:rPr>
            </w:pPr>
            <w:r>
              <w:rPr>
                <w:sz w:val="22"/>
              </w:rPr>
              <w:t>50% HAMFI</w:t>
            </w:r>
          </w:p>
        </w:tc>
        <w:tc>
          <w:tcPr>
            <w:tcW w:w="3323" w:type="dxa"/>
          </w:tcPr>
          <w:p>
            <w:pPr>
              <w:pStyle w:val="TableParagraph"/>
              <w:spacing w:before="1"/>
              <w:ind w:right="100"/>
              <w:jc w:val="right"/>
              <w:rPr>
                <w:sz w:val="22"/>
              </w:rPr>
            </w:pPr>
            <w:r>
              <w:rPr>
                <w:sz w:val="22"/>
              </w:rPr>
              <w:t>6,500</w:t>
            </w:r>
          </w:p>
        </w:tc>
        <w:tc>
          <w:tcPr>
            <w:tcW w:w="2751" w:type="dxa"/>
          </w:tcPr>
          <w:p>
            <w:pPr>
              <w:pStyle w:val="TableParagraph"/>
              <w:spacing w:before="1"/>
              <w:ind w:right="100"/>
              <w:jc w:val="right"/>
              <w:rPr>
                <w:sz w:val="22"/>
              </w:rPr>
            </w:pPr>
            <w:r>
              <w:rPr>
                <w:sz w:val="22"/>
              </w:rPr>
              <w:t>963</w:t>
            </w:r>
          </w:p>
        </w:tc>
      </w:tr>
      <w:tr>
        <w:trPr>
          <w:trHeight w:val="503" w:hRule="atLeast"/>
        </w:trPr>
        <w:tc>
          <w:tcPr>
            <w:tcW w:w="3276" w:type="dxa"/>
          </w:tcPr>
          <w:p>
            <w:pPr>
              <w:pStyle w:val="TableParagraph"/>
              <w:spacing w:before="1"/>
              <w:ind w:left="112"/>
              <w:rPr>
                <w:sz w:val="22"/>
              </w:rPr>
            </w:pPr>
            <w:r>
              <w:rPr>
                <w:sz w:val="22"/>
              </w:rPr>
              <w:t>80% HAMFI</w:t>
            </w:r>
          </w:p>
        </w:tc>
        <w:tc>
          <w:tcPr>
            <w:tcW w:w="3323" w:type="dxa"/>
          </w:tcPr>
          <w:p>
            <w:pPr>
              <w:pStyle w:val="TableParagraph"/>
              <w:spacing w:before="1"/>
              <w:ind w:right="100"/>
              <w:jc w:val="right"/>
              <w:rPr>
                <w:sz w:val="22"/>
              </w:rPr>
            </w:pPr>
            <w:r>
              <w:rPr>
                <w:sz w:val="22"/>
              </w:rPr>
              <w:t>14,765</w:t>
            </w:r>
          </w:p>
        </w:tc>
        <w:tc>
          <w:tcPr>
            <w:tcW w:w="2751" w:type="dxa"/>
          </w:tcPr>
          <w:p>
            <w:pPr>
              <w:pStyle w:val="TableParagraph"/>
              <w:spacing w:before="1"/>
              <w:ind w:right="100"/>
              <w:jc w:val="right"/>
              <w:rPr>
                <w:sz w:val="22"/>
              </w:rPr>
            </w:pPr>
            <w:r>
              <w:rPr>
                <w:sz w:val="22"/>
              </w:rPr>
              <w:t>2,863</w:t>
            </w:r>
          </w:p>
        </w:tc>
      </w:tr>
      <w:tr>
        <w:trPr>
          <w:trHeight w:val="503" w:hRule="atLeast"/>
        </w:trPr>
        <w:tc>
          <w:tcPr>
            <w:tcW w:w="3276" w:type="dxa"/>
          </w:tcPr>
          <w:p>
            <w:pPr>
              <w:pStyle w:val="TableParagraph"/>
              <w:spacing w:before="1"/>
              <w:ind w:left="112"/>
              <w:rPr>
                <w:sz w:val="22"/>
              </w:rPr>
            </w:pPr>
            <w:r>
              <w:rPr>
                <w:sz w:val="22"/>
              </w:rPr>
              <w:t>100% HAMFI</w:t>
            </w:r>
          </w:p>
        </w:tc>
        <w:tc>
          <w:tcPr>
            <w:tcW w:w="3323" w:type="dxa"/>
          </w:tcPr>
          <w:p>
            <w:pPr>
              <w:pStyle w:val="TableParagraph"/>
              <w:spacing w:before="1"/>
              <w:ind w:right="100"/>
              <w:jc w:val="right"/>
              <w:rPr>
                <w:sz w:val="22"/>
              </w:rPr>
            </w:pPr>
            <w:r>
              <w:rPr>
                <w:sz w:val="22"/>
              </w:rPr>
              <w:t>No Data</w:t>
            </w:r>
          </w:p>
        </w:tc>
        <w:tc>
          <w:tcPr>
            <w:tcW w:w="2751" w:type="dxa"/>
          </w:tcPr>
          <w:p>
            <w:pPr>
              <w:pStyle w:val="TableParagraph"/>
              <w:spacing w:before="1"/>
              <w:ind w:right="100"/>
              <w:jc w:val="right"/>
              <w:rPr>
                <w:sz w:val="22"/>
              </w:rPr>
            </w:pPr>
            <w:r>
              <w:rPr>
                <w:sz w:val="22"/>
              </w:rPr>
              <w:t>4,192</w:t>
            </w:r>
          </w:p>
        </w:tc>
      </w:tr>
      <w:tr>
        <w:trPr>
          <w:trHeight w:val="418" w:hRule="atLeast"/>
        </w:trPr>
        <w:tc>
          <w:tcPr>
            <w:tcW w:w="3276" w:type="dxa"/>
          </w:tcPr>
          <w:p>
            <w:pPr>
              <w:pStyle w:val="TableParagraph"/>
              <w:spacing w:line="192" w:lineRule="exact"/>
              <w:ind w:left="112"/>
              <w:rPr>
                <w:rFonts w:ascii="Verdana"/>
                <w:b/>
                <w:i/>
                <w:sz w:val="16"/>
              </w:rPr>
            </w:pPr>
            <w:r>
              <w:rPr>
                <w:rFonts w:ascii="Verdana"/>
                <w:b/>
                <w:i/>
                <w:sz w:val="16"/>
              </w:rPr>
              <w:t>Total</w:t>
            </w:r>
          </w:p>
        </w:tc>
        <w:tc>
          <w:tcPr>
            <w:tcW w:w="3323" w:type="dxa"/>
          </w:tcPr>
          <w:p>
            <w:pPr>
              <w:pStyle w:val="TableParagraph"/>
              <w:spacing w:line="192" w:lineRule="exact"/>
              <w:ind w:right="100"/>
              <w:jc w:val="right"/>
              <w:rPr>
                <w:rFonts w:ascii="Verdana"/>
                <w:b/>
                <w:i/>
                <w:sz w:val="16"/>
              </w:rPr>
            </w:pPr>
            <w:r>
              <w:rPr>
                <w:rFonts w:ascii="Verdana"/>
                <w:b/>
                <w:i/>
                <w:sz w:val="16"/>
              </w:rPr>
              <w:t>22,840</w:t>
            </w:r>
          </w:p>
        </w:tc>
        <w:tc>
          <w:tcPr>
            <w:tcW w:w="2751" w:type="dxa"/>
          </w:tcPr>
          <w:p>
            <w:pPr>
              <w:pStyle w:val="TableParagraph"/>
              <w:spacing w:line="192" w:lineRule="exact"/>
              <w:ind w:right="100"/>
              <w:jc w:val="right"/>
              <w:rPr>
                <w:rFonts w:ascii="Verdana"/>
                <w:b/>
                <w:i/>
                <w:sz w:val="16"/>
              </w:rPr>
            </w:pPr>
            <w:r>
              <w:rPr>
                <w:rFonts w:ascii="Verdana"/>
                <w:b/>
                <w:i/>
                <w:sz w:val="16"/>
              </w:rPr>
              <w:t>8,018</w:t>
            </w:r>
          </w:p>
        </w:tc>
      </w:tr>
    </w:tbl>
    <w:p>
      <w:pPr>
        <w:spacing w:after="0" w:line="192" w:lineRule="exact"/>
        <w:jc w:val="right"/>
        <w:rPr>
          <w:rFonts w:ascii="Verdana"/>
          <w:sz w:val="16"/>
        </w:rPr>
        <w:sectPr>
          <w:type w:val="continuous"/>
          <w:pgSz w:w="15840" w:h="12240" w:orient="landscape"/>
          <w:pgMar w:top="1340" w:bottom="1520" w:left="1320" w:right="1320"/>
        </w:sectPr>
      </w:pPr>
    </w:p>
    <w:p>
      <w:pPr>
        <w:pStyle w:val="BodyText"/>
        <w:spacing w:before="1"/>
        <w:rPr>
          <w:b/>
          <w:sz w:val="19"/>
        </w:rPr>
      </w:pPr>
    </w:p>
    <w:p>
      <w:pPr>
        <w:spacing w:before="0"/>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2016-2020 CHAS</w:t>
      </w:r>
    </w:p>
    <w:p>
      <w:pPr>
        <w:spacing w:before="0"/>
        <w:ind w:left="235" w:right="0" w:firstLine="0"/>
        <w:jc w:val="left"/>
        <w:rPr>
          <w:rFonts w:ascii="Arial" w:hAnsi="Arial"/>
          <w:b/>
          <w:sz w:val="20"/>
        </w:rPr>
      </w:pPr>
      <w:r>
        <w:rPr/>
        <w:br w:type="column"/>
      </w:r>
      <w:r>
        <w:rPr>
          <w:rFonts w:ascii="Arial" w:hAnsi="Arial"/>
          <w:b/>
          <w:sz w:val="20"/>
        </w:rPr>
        <w:t>Table 35 – Housing Affordability</w:t>
      </w:r>
    </w:p>
    <w:p>
      <w:pPr>
        <w:spacing w:after="0"/>
        <w:jc w:val="left"/>
        <w:rPr>
          <w:rFonts w:ascii="Arial" w:hAnsi="Arial"/>
          <w:sz w:val="20"/>
        </w:rPr>
        <w:sectPr>
          <w:type w:val="continuous"/>
          <w:pgSz w:w="15840" w:h="12240" w:orient="landscape"/>
          <w:pgMar w:top="1340" w:bottom="1520" w:left="1320" w:right="1320"/>
          <w:cols w:num="3" w:equalWidth="0">
            <w:col w:w="772" w:space="292"/>
            <w:col w:w="1361" w:space="2413"/>
            <w:col w:w="8362"/>
          </w:cols>
        </w:sectPr>
      </w:pPr>
    </w:p>
    <w:p>
      <w:pPr>
        <w:pStyle w:val="BodyText"/>
        <w:rPr>
          <w:rFonts w:ascii="Arial"/>
          <w:b/>
          <w:sz w:val="20"/>
        </w:rPr>
      </w:pPr>
    </w:p>
    <w:p>
      <w:pPr>
        <w:pStyle w:val="BodyText"/>
        <w:spacing w:before="5"/>
        <w:rPr>
          <w:rFonts w:ascii="Arial"/>
          <w:b/>
          <w:sz w:val="27"/>
        </w:rPr>
      </w:pPr>
    </w:p>
    <w:p>
      <w:pPr>
        <w:pStyle w:val="Heading4"/>
        <w:spacing w:before="51"/>
        <w:ind w:left="120"/>
      </w:pPr>
      <w:r>
        <w:rPr/>
        <w:t>Monthly Rent</w:t>
      </w:r>
    </w:p>
    <w:p>
      <w:pPr>
        <w:pStyle w:val="BodyText"/>
        <w:spacing w:before="8"/>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61"/>
        <w:gridCol w:w="1601"/>
        <w:gridCol w:w="1322"/>
        <w:gridCol w:w="1322"/>
        <w:gridCol w:w="1322"/>
        <w:gridCol w:w="1322"/>
      </w:tblGrid>
      <w:tr>
        <w:trPr>
          <w:trHeight w:val="532" w:hRule="atLeast"/>
        </w:trPr>
        <w:tc>
          <w:tcPr>
            <w:tcW w:w="2461" w:type="dxa"/>
          </w:tcPr>
          <w:p>
            <w:pPr>
              <w:pStyle w:val="TableParagraph"/>
              <w:spacing w:before="1"/>
              <w:ind w:left="448"/>
              <w:rPr>
                <w:b/>
                <w:sz w:val="22"/>
              </w:rPr>
            </w:pPr>
            <w:r>
              <w:rPr>
                <w:b/>
                <w:sz w:val="22"/>
              </w:rPr>
              <w:t>Monthly Rent ($)</w:t>
            </w:r>
          </w:p>
        </w:tc>
        <w:tc>
          <w:tcPr>
            <w:tcW w:w="1601" w:type="dxa"/>
          </w:tcPr>
          <w:p>
            <w:pPr>
              <w:pStyle w:val="TableParagraph"/>
              <w:spacing w:line="270" w:lineRule="atLeast"/>
              <w:ind w:left="343" w:right="155" w:hanging="159"/>
              <w:rPr>
                <w:b/>
                <w:sz w:val="22"/>
              </w:rPr>
            </w:pPr>
            <w:r>
              <w:rPr>
                <w:b/>
                <w:sz w:val="22"/>
              </w:rPr>
              <w:t>Efficiency (no bedroom)</w:t>
            </w:r>
          </w:p>
        </w:tc>
        <w:tc>
          <w:tcPr>
            <w:tcW w:w="1322" w:type="dxa"/>
          </w:tcPr>
          <w:p>
            <w:pPr>
              <w:pStyle w:val="TableParagraph"/>
              <w:spacing w:before="1"/>
              <w:ind w:right="142"/>
              <w:jc w:val="right"/>
              <w:rPr>
                <w:b/>
                <w:sz w:val="22"/>
              </w:rPr>
            </w:pPr>
            <w:r>
              <w:rPr>
                <w:b/>
                <w:sz w:val="22"/>
              </w:rPr>
              <w:t>1 Bedroom</w:t>
            </w:r>
          </w:p>
        </w:tc>
        <w:tc>
          <w:tcPr>
            <w:tcW w:w="1322" w:type="dxa"/>
          </w:tcPr>
          <w:p>
            <w:pPr>
              <w:pStyle w:val="TableParagraph"/>
              <w:spacing w:before="1"/>
              <w:ind w:right="142"/>
              <w:jc w:val="right"/>
              <w:rPr>
                <w:b/>
                <w:sz w:val="22"/>
              </w:rPr>
            </w:pPr>
            <w:r>
              <w:rPr>
                <w:b/>
                <w:sz w:val="22"/>
              </w:rPr>
              <w:t>2 Bedroom</w:t>
            </w:r>
          </w:p>
        </w:tc>
        <w:tc>
          <w:tcPr>
            <w:tcW w:w="1322" w:type="dxa"/>
          </w:tcPr>
          <w:p>
            <w:pPr>
              <w:pStyle w:val="TableParagraph"/>
              <w:spacing w:before="1"/>
              <w:ind w:right="142"/>
              <w:jc w:val="right"/>
              <w:rPr>
                <w:b/>
                <w:sz w:val="22"/>
              </w:rPr>
            </w:pPr>
            <w:r>
              <w:rPr>
                <w:b/>
                <w:sz w:val="22"/>
              </w:rPr>
              <w:t>3 Bedroom</w:t>
            </w:r>
          </w:p>
        </w:tc>
        <w:tc>
          <w:tcPr>
            <w:tcW w:w="1322" w:type="dxa"/>
          </w:tcPr>
          <w:p>
            <w:pPr>
              <w:pStyle w:val="TableParagraph"/>
              <w:spacing w:before="1"/>
              <w:ind w:right="142"/>
              <w:jc w:val="right"/>
              <w:rPr>
                <w:b/>
                <w:sz w:val="22"/>
              </w:rPr>
            </w:pPr>
            <w:r>
              <w:rPr>
                <w:b/>
                <w:sz w:val="22"/>
              </w:rPr>
              <w:t>4 Bedroom</w:t>
            </w:r>
          </w:p>
        </w:tc>
      </w:tr>
      <w:tr>
        <w:trPr>
          <w:trHeight w:val="495" w:hRule="atLeast"/>
        </w:trPr>
        <w:tc>
          <w:tcPr>
            <w:tcW w:w="2461" w:type="dxa"/>
          </w:tcPr>
          <w:p>
            <w:pPr>
              <w:pStyle w:val="TableParagraph"/>
              <w:spacing w:line="262" w:lineRule="exact"/>
              <w:ind w:left="112"/>
              <w:rPr>
                <w:sz w:val="22"/>
              </w:rPr>
            </w:pPr>
            <w:r>
              <w:rPr>
                <w:sz w:val="22"/>
              </w:rPr>
              <w:t>Fair Market Rent</w:t>
            </w:r>
          </w:p>
        </w:tc>
        <w:tc>
          <w:tcPr>
            <w:tcW w:w="1601" w:type="dxa"/>
          </w:tcPr>
          <w:p>
            <w:pPr>
              <w:pStyle w:val="TableParagraph"/>
              <w:spacing w:line="262" w:lineRule="exact"/>
              <w:ind w:right="100"/>
              <w:jc w:val="right"/>
              <w:rPr>
                <w:sz w:val="22"/>
              </w:rPr>
            </w:pPr>
            <w:r>
              <w:rPr>
                <w:sz w:val="22"/>
              </w:rPr>
              <w:t>817</w:t>
            </w:r>
          </w:p>
        </w:tc>
        <w:tc>
          <w:tcPr>
            <w:tcW w:w="1322" w:type="dxa"/>
          </w:tcPr>
          <w:p>
            <w:pPr>
              <w:pStyle w:val="TableParagraph"/>
              <w:spacing w:line="262" w:lineRule="exact"/>
              <w:ind w:right="100"/>
              <w:jc w:val="right"/>
              <w:rPr>
                <w:sz w:val="22"/>
              </w:rPr>
            </w:pPr>
            <w:r>
              <w:rPr>
                <w:sz w:val="22"/>
              </w:rPr>
              <w:t>957</w:t>
            </w:r>
          </w:p>
        </w:tc>
        <w:tc>
          <w:tcPr>
            <w:tcW w:w="1322" w:type="dxa"/>
          </w:tcPr>
          <w:p>
            <w:pPr>
              <w:pStyle w:val="TableParagraph"/>
              <w:spacing w:line="262" w:lineRule="exact"/>
              <w:ind w:right="100"/>
              <w:jc w:val="right"/>
              <w:rPr>
                <w:sz w:val="22"/>
              </w:rPr>
            </w:pPr>
            <w:r>
              <w:rPr>
                <w:sz w:val="22"/>
              </w:rPr>
              <w:t>1,124</w:t>
            </w:r>
          </w:p>
        </w:tc>
        <w:tc>
          <w:tcPr>
            <w:tcW w:w="1322" w:type="dxa"/>
          </w:tcPr>
          <w:p>
            <w:pPr>
              <w:pStyle w:val="TableParagraph"/>
              <w:spacing w:line="262" w:lineRule="exact"/>
              <w:ind w:right="100"/>
              <w:jc w:val="right"/>
              <w:rPr>
                <w:sz w:val="22"/>
              </w:rPr>
            </w:pPr>
            <w:r>
              <w:rPr>
                <w:sz w:val="22"/>
              </w:rPr>
              <w:t>1,573</w:t>
            </w:r>
          </w:p>
        </w:tc>
        <w:tc>
          <w:tcPr>
            <w:tcW w:w="1322" w:type="dxa"/>
          </w:tcPr>
          <w:p>
            <w:pPr>
              <w:pStyle w:val="TableParagraph"/>
              <w:spacing w:line="262" w:lineRule="exact"/>
              <w:ind w:right="100"/>
              <w:jc w:val="right"/>
              <w:rPr>
                <w:sz w:val="22"/>
              </w:rPr>
            </w:pPr>
            <w:r>
              <w:rPr>
                <w:sz w:val="22"/>
              </w:rPr>
              <w:t>1,864</w:t>
            </w:r>
          </w:p>
        </w:tc>
      </w:tr>
      <w:tr>
        <w:trPr>
          <w:trHeight w:val="503" w:hRule="atLeast"/>
        </w:trPr>
        <w:tc>
          <w:tcPr>
            <w:tcW w:w="2461" w:type="dxa"/>
          </w:tcPr>
          <w:p>
            <w:pPr>
              <w:pStyle w:val="TableParagraph"/>
              <w:spacing w:before="1"/>
              <w:ind w:left="112"/>
              <w:rPr>
                <w:sz w:val="22"/>
              </w:rPr>
            </w:pPr>
            <w:r>
              <w:rPr>
                <w:sz w:val="22"/>
              </w:rPr>
              <w:t>High HOME Rent</w:t>
            </w:r>
          </w:p>
        </w:tc>
        <w:tc>
          <w:tcPr>
            <w:tcW w:w="1601" w:type="dxa"/>
          </w:tcPr>
          <w:p>
            <w:pPr>
              <w:pStyle w:val="TableParagraph"/>
              <w:spacing w:before="1"/>
              <w:ind w:right="100"/>
              <w:jc w:val="right"/>
              <w:rPr>
                <w:sz w:val="22"/>
              </w:rPr>
            </w:pPr>
            <w:r>
              <w:rPr>
                <w:sz w:val="22"/>
              </w:rPr>
              <w:t>697</w:t>
            </w:r>
          </w:p>
        </w:tc>
        <w:tc>
          <w:tcPr>
            <w:tcW w:w="1322" w:type="dxa"/>
          </w:tcPr>
          <w:p>
            <w:pPr>
              <w:pStyle w:val="TableParagraph"/>
              <w:spacing w:before="1"/>
              <w:ind w:right="100"/>
              <w:jc w:val="right"/>
              <w:rPr>
                <w:sz w:val="22"/>
              </w:rPr>
            </w:pPr>
            <w:r>
              <w:rPr>
                <w:sz w:val="22"/>
              </w:rPr>
              <w:t>736</w:t>
            </w:r>
          </w:p>
        </w:tc>
        <w:tc>
          <w:tcPr>
            <w:tcW w:w="1322" w:type="dxa"/>
          </w:tcPr>
          <w:p>
            <w:pPr>
              <w:pStyle w:val="TableParagraph"/>
              <w:spacing w:before="1"/>
              <w:ind w:right="100"/>
              <w:jc w:val="right"/>
              <w:rPr>
                <w:sz w:val="22"/>
              </w:rPr>
            </w:pPr>
            <w:r>
              <w:rPr>
                <w:sz w:val="22"/>
              </w:rPr>
              <w:t>945</w:t>
            </w:r>
          </w:p>
        </w:tc>
        <w:tc>
          <w:tcPr>
            <w:tcW w:w="1322" w:type="dxa"/>
          </w:tcPr>
          <w:p>
            <w:pPr>
              <w:pStyle w:val="TableParagraph"/>
              <w:spacing w:before="1"/>
              <w:ind w:right="100"/>
              <w:jc w:val="right"/>
              <w:rPr>
                <w:sz w:val="22"/>
              </w:rPr>
            </w:pPr>
            <w:r>
              <w:rPr>
                <w:sz w:val="22"/>
              </w:rPr>
              <w:t>1,213</w:t>
            </w:r>
          </w:p>
        </w:tc>
        <w:tc>
          <w:tcPr>
            <w:tcW w:w="1322" w:type="dxa"/>
          </w:tcPr>
          <w:p>
            <w:pPr>
              <w:pStyle w:val="TableParagraph"/>
              <w:spacing w:before="1"/>
              <w:ind w:right="100"/>
              <w:jc w:val="right"/>
              <w:rPr>
                <w:sz w:val="22"/>
              </w:rPr>
            </w:pPr>
            <w:r>
              <w:rPr>
                <w:sz w:val="22"/>
              </w:rPr>
              <w:t>1,334</w:t>
            </w:r>
          </w:p>
        </w:tc>
      </w:tr>
    </w:tbl>
    <w:p>
      <w:pPr>
        <w:spacing w:after="0"/>
        <w:jc w:val="right"/>
        <w:rPr>
          <w:sz w:val="22"/>
        </w:rPr>
        <w:sectPr>
          <w:type w:val="continuous"/>
          <w:pgSz w:w="15840" w:h="12240" w:orient="landscape"/>
          <w:pgMar w:top="1340" w:bottom="1520" w:left="1320" w:right="1320"/>
        </w:sectPr>
      </w:pPr>
    </w:p>
    <w:p>
      <w:pPr>
        <w:pStyle w:val="BodyText"/>
        <w:spacing w:before="2"/>
        <w:rPr>
          <w:b/>
          <w:sz w:val="24"/>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61"/>
        <w:gridCol w:w="1601"/>
        <w:gridCol w:w="1322"/>
        <w:gridCol w:w="1322"/>
        <w:gridCol w:w="1322"/>
        <w:gridCol w:w="1322"/>
      </w:tblGrid>
      <w:tr>
        <w:trPr>
          <w:trHeight w:val="503" w:hRule="atLeast"/>
        </w:trPr>
        <w:tc>
          <w:tcPr>
            <w:tcW w:w="2461" w:type="dxa"/>
          </w:tcPr>
          <w:p>
            <w:pPr>
              <w:pStyle w:val="TableParagraph"/>
              <w:spacing w:before="1"/>
              <w:ind w:left="112"/>
              <w:rPr>
                <w:sz w:val="22"/>
              </w:rPr>
            </w:pPr>
            <w:r>
              <w:rPr>
                <w:sz w:val="22"/>
              </w:rPr>
              <w:t>Low HOME Rent</w:t>
            </w:r>
          </w:p>
        </w:tc>
        <w:tc>
          <w:tcPr>
            <w:tcW w:w="1601" w:type="dxa"/>
          </w:tcPr>
          <w:p>
            <w:pPr>
              <w:pStyle w:val="TableParagraph"/>
              <w:spacing w:before="1"/>
              <w:ind w:right="100"/>
              <w:jc w:val="right"/>
              <w:rPr>
                <w:sz w:val="22"/>
              </w:rPr>
            </w:pPr>
            <w:r>
              <w:rPr>
                <w:sz w:val="22"/>
              </w:rPr>
              <w:t>646</w:t>
            </w:r>
          </w:p>
        </w:tc>
        <w:tc>
          <w:tcPr>
            <w:tcW w:w="1322" w:type="dxa"/>
          </w:tcPr>
          <w:p>
            <w:pPr>
              <w:pStyle w:val="TableParagraph"/>
              <w:spacing w:before="1"/>
              <w:ind w:left="869"/>
              <w:rPr>
                <w:sz w:val="22"/>
              </w:rPr>
            </w:pPr>
            <w:r>
              <w:rPr>
                <w:sz w:val="22"/>
              </w:rPr>
              <w:t>692</w:t>
            </w:r>
          </w:p>
        </w:tc>
        <w:tc>
          <w:tcPr>
            <w:tcW w:w="1322" w:type="dxa"/>
          </w:tcPr>
          <w:p>
            <w:pPr>
              <w:pStyle w:val="TableParagraph"/>
              <w:spacing w:before="1"/>
              <w:ind w:left="869"/>
              <w:rPr>
                <w:sz w:val="22"/>
              </w:rPr>
            </w:pPr>
            <w:r>
              <w:rPr>
                <w:sz w:val="22"/>
              </w:rPr>
              <w:t>831</w:t>
            </w:r>
          </w:p>
        </w:tc>
        <w:tc>
          <w:tcPr>
            <w:tcW w:w="1322" w:type="dxa"/>
          </w:tcPr>
          <w:p>
            <w:pPr>
              <w:pStyle w:val="TableParagraph"/>
              <w:spacing w:before="1"/>
              <w:ind w:left="869"/>
              <w:rPr>
                <w:sz w:val="22"/>
              </w:rPr>
            </w:pPr>
            <w:r>
              <w:rPr>
                <w:sz w:val="22"/>
              </w:rPr>
              <w:t>960</w:t>
            </w:r>
          </w:p>
        </w:tc>
        <w:tc>
          <w:tcPr>
            <w:tcW w:w="1322" w:type="dxa"/>
          </w:tcPr>
          <w:p>
            <w:pPr>
              <w:pStyle w:val="TableParagraph"/>
              <w:spacing w:before="1"/>
              <w:ind w:left="703"/>
              <w:rPr>
                <w:sz w:val="22"/>
              </w:rPr>
            </w:pPr>
            <w:r>
              <w:rPr>
                <w:sz w:val="22"/>
              </w:rPr>
              <w:t>1,071</w:t>
            </w:r>
          </w:p>
        </w:tc>
      </w:tr>
    </w:tbl>
    <w:p>
      <w:pPr>
        <w:spacing w:after="0"/>
        <w:rPr>
          <w:sz w:val="22"/>
        </w:rPr>
        <w:sectPr>
          <w:headerReference w:type="default" r:id="rId47"/>
          <w:footerReference w:type="default" r:id="rId48"/>
          <w:pgSz w:w="15840" w:h="12240" w:orient="landscape"/>
          <w:pgMar w:header="0" w:footer="1072" w:top="1140" w:bottom="1260" w:left="1320" w:right="1320"/>
          <w:pgNumType w:start="67"/>
        </w:sectPr>
      </w:pPr>
    </w:p>
    <w:p>
      <w:pPr>
        <w:pStyle w:val="BodyText"/>
        <w:spacing w:before="1"/>
        <w:rPr>
          <w:b/>
          <w:sz w:val="19"/>
        </w:rPr>
      </w:pPr>
    </w:p>
    <w:p>
      <w:pPr>
        <w:spacing w:before="0"/>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HUD FMR and HOME Rents</w:t>
      </w:r>
    </w:p>
    <w:p>
      <w:pPr>
        <w:spacing w:before="0"/>
        <w:ind w:left="235" w:right="0" w:firstLine="0"/>
        <w:jc w:val="left"/>
        <w:rPr>
          <w:rFonts w:ascii="Arial" w:hAnsi="Arial"/>
          <w:b/>
          <w:sz w:val="20"/>
        </w:rPr>
      </w:pPr>
      <w:r>
        <w:rPr/>
        <w:br w:type="column"/>
      </w:r>
      <w:r>
        <w:rPr>
          <w:rFonts w:ascii="Arial" w:hAnsi="Arial"/>
          <w:b/>
          <w:sz w:val="20"/>
        </w:rPr>
        <w:t>Table 36 – Monthly Rent</w:t>
      </w:r>
    </w:p>
    <w:p>
      <w:pPr>
        <w:spacing w:after="0"/>
        <w:jc w:val="left"/>
        <w:rPr>
          <w:rFonts w:ascii="Arial" w:hAnsi="Arial"/>
          <w:sz w:val="20"/>
        </w:rPr>
        <w:sectPr>
          <w:type w:val="continuous"/>
          <w:pgSz w:w="15840" w:h="12240" w:orient="landscape"/>
          <w:pgMar w:top="1340" w:bottom="1520" w:left="1320" w:right="1320"/>
          <w:cols w:num="3" w:equalWidth="0">
            <w:col w:w="772" w:space="292"/>
            <w:col w:w="2050" w:space="2106"/>
            <w:col w:w="7980"/>
          </w:cols>
        </w:sectPr>
      </w:pPr>
    </w:p>
    <w:p>
      <w:pPr>
        <w:pStyle w:val="BodyText"/>
        <w:rPr>
          <w:rFonts w:ascii="Arial"/>
          <w:b/>
          <w:sz w:val="20"/>
        </w:rPr>
      </w:pPr>
    </w:p>
    <w:p>
      <w:pPr>
        <w:pStyle w:val="BodyText"/>
        <w:spacing w:before="3"/>
        <w:rPr>
          <w:rFonts w:ascii="Arial"/>
          <w:b/>
          <w:sz w:val="25"/>
        </w:rPr>
      </w:pPr>
    </w:p>
    <w:p>
      <w:pPr>
        <w:pStyle w:val="Heading4"/>
        <w:spacing w:before="52"/>
        <w:ind w:left="120"/>
      </w:pPr>
      <w:r>
        <w:rPr/>
        <w:t>Is there sufficient housing for households at all income levels?</w:t>
      </w:r>
    </w:p>
    <w:p>
      <w:pPr>
        <w:pStyle w:val="BodyText"/>
        <w:spacing w:before="11"/>
        <w:rPr>
          <w:b/>
          <w:sz w:val="19"/>
        </w:rPr>
      </w:pPr>
    </w:p>
    <w:p>
      <w:pPr>
        <w:pStyle w:val="BodyText"/>
        <w:spacing w:line="276" w:lineRule="auto"/>
        <w:ind w:left="120" w:right="196"/>
      </w:pPr>
      <w:r>
        <w:rPr/>
        <w:t>Bloomington does not have sufficient housing to meet the needs of households at all income levels, particularly for low- and very low-income households. While there are 6,500 rental units affordable to households earning 50% of HAMFI and 14,765 for those earning 80% HAMFI, only 1,575 units are affordable to the 8,760 households in the City earning 30% HAMFI, highlighting a severe shortage for the lowest-income renters. Similarly, homeownership opportunities are limited, with fewer than 1,000 affordable ownership units for households earning 50% HAMFI.</w:t>
      </w:r>
    </w:p>
    <w:p>
      <w:pPr>
        <w:pStyle w:val="BodyText"/>
        <w:spacing w:before="5"/>
        <w:rPr>
          <w:sz w:val="16"/>
        </w:rPr>
      </w:pPr>
    </w:p>
    <w:p>
      <w:pPr>
        <w:pStyle w:val="BodyText"/>
        <w:spacing w:line="276" w:lineRule="auto"/>
        <w:ind w:left="120" w:right="124"/>
      </w:pPr>
      <w:r>
        <w:rPr/>
        <w:t>Rising housing costs exacerbate these challenges, as median home values have increased by 26% and rents by 17% since 2009. Many renters and potential homeowners face cost burdens, particularly as Fair Market Rents exceed affordability for low-income households. This imbalance indicates significant gaps in housing availability for the most vulnerable populations and a growing need for targeted affordable housing interventions.</w:t>
      </w:r>
    </w:p>
    <w:p>
      <w:pPr>
        <w:pStyle w:val="BodyText"/>
        <w:spacing w:before="5"/>
        <w:rPr>
          <w:sz w:val="16"/>
        </w:rPr>
      </w:pPr>
    </w:p>
    <w:p>
      <w:pPr>
        <w:pStyle w:val="Heading4"/>
        <w:ind w:left="120"/>
      </w:pPr>
      <w:r>
        <w:rPr/>
        <w:t>How is affordability of housing likely to change considering changes to home values and/or rents?</w:t>
      </w:r>
    </w:p>
    <w:p>
      <w:pPr>
        <w:pStyle w:val="BodyText"/>
        <w:spacing w:before="12"/>
        <w:rPr>
          <w:b/>
          <w:sz w:val="19"/>
        </w:rPr>
      </w:pPr>
    </w:p>
    <w:p>
      <w:pPr>
        <w:pStyle w:val="BodyText"/>
        <w:spacing w:line="276" w:lineRule="auto"/>
        <w:ind w:left="120" w:right="102"/>
      </w:pPr>
      <w:r>
        <w:rPr/>
        <w:t>The affordability of housing in Bloomington is likely to continue declining due to rising home values and rents. Between 2009 and 2020, the median home value increased by 26% and median contract rent rose by 17%, outpacing income growth for many households. These trends suggest that homeownership will remain increasingly out of reach for low- and moderate-income families, particularly as the median home value now exceeds $219,000.</w:t>
      </w:r>
    </w:p>
    <w:p>
      <w:pPr>
        <w:pStyle w:val="BodyText"/>
        <w:spacing w:before="4"/>
        <w:rPr>
          <w:sz w:val="16"/>
        </w:rPr>
      </w:pPr>
    </w:p>
    <w:p>
      <w:pPr>
        <w:pStyle w:val="BodyText"/>
        <w:spacing w:line="276" w:lineRule="auto" w:before="1"/>
        <w:ind w:left="120" w:right="170"/>
      </w:pPr>
      <w:r>
        <w:rPr/>
        <w:t>For renters, rising Fair Market Rents—now starting at $817 for an efficiency and $1,124 for a two-bedroom unit—indicate worsening affordability. The limited supply of affordable units for households earning less than 30% or 50% of HAMFI further compounds the issue. Without intervention, affordability will likely worsen, leading to higher rates of cost-burdened households and reduced housing stability for low- income residents.</w:t>
      </w:r>
    </w:p>
    <w:p>
      <w:pPr>
        <w:pStyle w:val="BodyText"/>
        <w:spacing w:before="4"/>
        <w:rPr>
          <w:sz w:val="16"/>
        </w:rPr>
      </w:pPr>
    </w:p>
    <w:p>
      <w:pPr>
        <w:pStyle w:val="Heading4"/>
        <w:spacing w:line="276" w:lineRule="auto" w:before="1"/>
        <w:ind w:left="120" w:right="856"/>
      </w:pPr>
      <w:r>
        <w:rPr/>
        <w:t>How do HOME rents / Fair Market Rent compare to Area Median Rent? How might this impact your strategy to produce or preserve affordable housing?</w:t>
      </w:r>
    </w:p>
    <w:p>
      <w:pPr>
        <w:spacing w:after="0" w:line="276" w:lineRule="auto"/>
        <w:sectPr>
          <w:type w:val="continuous"/>
          <w:pgSz w:w="15840" w:h="12240" w:orient="landscape"/>
          <w:pgMar w:top="1340" w:bottom="1520" w:left="1320" w:right="1320"/>
        </w:sectPr>
      </w:pPr>
    </w:p>
    <w:p>
      <w:pPr>
        <w:pStyle w:val="BodyText"/>
        <w:spacing w:before="4"/>
        <w:rPr>
          <w:b/>
          <w:sz w:val="20"/>
        </w:rPr>
      </w:pPr>
    </w:p>
    <w:p>
      <w:pPr>
        <w:pStyle w:val="BodyText"/>
        <w:spacing w:line="276" w:lineRule="auto" w:before="56"/>
        <w:ind w:left="120" w:right="240"/>
      </w:pPr>
      <w:r>
        <w:rPr/>
        <w:t>HOME rents and Fair Market Rents (FMR) in Bloomington are generally higher than the area median rent of $824, with FMR starting at $817 for an efficiency and reaching $1,124 for a two-bedroom unit. While Low HOME Rents (e.g., $646 for an efficiency) are closer to the area median rent, they are still limited in number and may not fully meet the needs of very low-income households. This discrepancy indicates that many households earning below 50% of the HUD Area Median Family Income (HAMFI) cannot afford market-rate units or even some HOME-assisted units without additional subsidies. To address this, strategies to produce or preserve affordable housing must prioritize:</w:t>
      </w:r>
    </w:p>
    <w:p>
      <w:pPr>
        <w:pStyle w:val="BodyText"/>
        <w:spacing w:before="4"/>
        <w:rPr>
          <w:sz w:val="16"/>
        </w:rPr>
      </w:pPr>
    </w:p>
    <w:p>
      <w:pPr>
        <w:pStyle w:val="ListParagraph"/>
        <w:numPr>
          <w:ilvl w:val="0"/>
          <w:numId w:val="9"/>
        </w:numPr>
        <w:tabs>
          <w:tab w:pos="840" w:val="left" w:leader="none"/>
        </w:tabs>
        <w:spacing w:line="240" w:lineRule="auto" w:before="0" w:after="0"/>
        <w:ind w:left="840" w:right="0" w:hanging="360"/>
        <w:jc w:val="left"/>
        <w:rPr>
          <w:sz w:val="22"/>
        </w:rPr>
      </w:pPr>
      <w:r>
        <w:rPr>
          <w:sz w:val="22"/>
        </w:rPr>
        <w:t>Expanding deeply affordable units—particularly those below Low HOME Rent levels for extremely low-income households.</w:t>
      </w:r>
    </w:p>
    <w:p>
      <w:pPr>
        <w:pStyle w:val="ListParagraph"/>
        <w:numPr>
          <w:ilvl w:val="0"/>
          <w:numId w:val="9"/>
        </w:numPr>
        <w:tabs>
          <w:tab w:pos="840" w:val="left" w:leader="none"/>
        </w:tabs>
        <w:spacing w:line="240" w:lineRule="auto" w:before="41" w:after="0"/>
        <w:ind w:left="840" w:right="0" w:hanging="360"/>
        <w:jc w:val="left"/>
        <w:rPr>
          <w:sz w:val="22"/>
        </w:rPr>
      </w:pPr>
      <w:r>
        <w:rPr>
          <w:sz w:val="22"/>
        </w:rPr>
        <w:t>Preserving existing units at or below the area median rent to prevent displacement.</w:t>
      </w:r>
    </w:p>
    <w:p>
      <w:pPr>
        <w:pStyle w:val="ListParagraph"/>
        <w:numPr>
          <w:ilvl w:val="0"/>
          <w:numId w:val="9"/>
        </w:numPr>
        <w:tabs>
          <w:tab w:pos="840" w:val="left" w:leader="none"/>
        </w:tabs>
        <w:spacing w:line="240" w:lineRule="auto" w:before="40" w:after="0"/>
        <w:ind w:left="840" w:right="0" w:hanging="360"/>
        <w:jc w:val="left"/>
        <w:rPr>
          <w:sz w:val="22"/>
        </w:rPr>
      </w:pPr>
      <w:r>
        <w:rPr>
          <w:sz w:val="22"/>
        </w:rPr>
        <w:t>Leveraging rental assistance programs to bridge the gap between rents and household incomes for those in greatest need.</w:t>
      </w:r>
    </w:p>
    <w:p>
      <w:pPr>
        <w:spacing w:after="0" w:line="240" w:lineRule="auto"/>
        <w:jc w:val="left"/>
        <w:rPr>
          <w:sz w:val="22"/>
        </w:rPr>
        <w:sectPr>
          <w:headerReference w:type="default" r:id="rId49"/>
          <w:footerReference w:type="default" r:id="rId50"/>
          <w:pgSz w:w="15840" w:h="12240" w:orient="landscape"/>
          <w:pgMar w:header="0" w:footer="1072" w:top="1140" w:bottom="1260" w:left="1320" w:right="1320"/>
          <w:pgNumType w:start="68"/>
        </w:sectPr>
      </w:pPr>
    </w:p>
    <w:p>
      <w:pPr>
        <w:pStyle w:val="BodyText"/>
        <w:rPr>
          <w:sz w:val="20"/>
        </w:rPr>
      </w:pPr>
    </w:p>
    <w:p>
      <w:pPr>
        <w:pStyle w:val="BodyText"/>
        <w:spacing w:before="3"/>
        <w:rPr>
          <w:sz w:val="15"/>
        </w:rPr>
      </w:pPr>
    </w:p>
    <w:p>
      <w:pPr>
        <w:pStyle w:val="Heading1"/>
        <w:spacing w:before="35"/>
        <w:ind w:left="120"/>
      </w:pPr>
      <w:r>
        <w:rPr>
          <w:color w:val="0E4661"/>
        </w:rPr>
        <w:t>MA-20 Housing Market Analysis: Condition of Housing – 91.210(a)</w:t>
      </w:r>
    </w:p>
    <w:p>
      <w:pPr>
        <w:pStyle w:val="Heading4"/>
        <w:spacing w:before="138"/>
        <w:ind w:left="120"/>
      </w:pPr>
      <w:r>
        <w:rPr/>
        <w:t>Introduction</w:t>
      </w:r>
    </w:p>
    <w:p>
      <w:pPr>
        <w:pStyle w:val="BodyText"/>
        <w:spacing w:line="276" w:lineRule="auto" w:before="155"/>
        <w:ind w:left="120" w:right="148"/>
      </w:pPr>
      <w:r>
        <w:rPr/>
        <w:t>The following data provides an overview on the condition of housing in Bloomington. The following housing problems are included in the data that follow: 1) lacking complete plumbing facilities, 2) lacking complete kitchen facilities, 3) overcrowding (more than one person per room), and</w:t>
      </w:r>
    </w:p>
    <w:p>
      <w:pPr>
        <w:pStyle w:val="ListParagraph"/>
        <w:numPr>
          <w:ilvl w:val="0"/>
          <w:numId w:val="10"/>
        </w:numPr>
        <w:tabs>
          <w:tab w:pos="348" w:val="left" w:leader="none"/>
        </w:tabs>
        <w:spacing w:line="240" w:lineRule="auto" w:before="0" w:after="0"/>
        <w:ind w:left="347" w:right="0" w:hanging="228"/>
        <w:jc w:val="left"/>
        <w:rPr>
          <w:sz w:val="22"/>
        </w:rPr>
      </w:pPr>
      <w:r>
        <w:rPr>
          <w:sz w:val="22"/>
        </w:rPr>
        <w:t>cost burden (more than 30% of household income spend on housing).</w:t>
      </w:r>
    </w:p>
    <w:p>
      <w:pPr>
        <w:pStyle w:val="BodyText"/>
        <w:spacing w:before="9"/>
        <w:rPr>
          <w:sz w:val="19"/>
        </w:rPr>
      </w:pPr>
    </w:p>
    <w:p>
      <w:pPr>
        <w:pStyle w:val="Heading4"/>
        <w:ind w:left="120"/>
      </w:pPr>
      <w:r>
        <w:rPr/>
        <w:t>Describe the jurisdiction's definition of "standard condition" and "substandard condition but suitable for rehabilitation":</w:t>
      </w:r>
    </w:p>
    <w:p>
      <w:pPr>
        <w:pStyle w:val="BodyText"/>
        <w:spacing w:before="11"/>
        <w:rPr>
          <w:b/>
          <w:sz w:val="19"/>
        </w:rPr>
      </w:pPr>
    </w:p>
    <w:p>
      <w:pPr>
        <w:pStyle w:val="BodyText"/>
        <w:spacing w:line="276" w:lineRule="auto" w:before="1"/>
        <w:ind w:left="120" w:right="871"/>
      </w:pPr>
      <w:r>
        <w:rPr>
          <w:i/>
        </w:rPr>
        <w:t>Standard Condition</w:t>
      </w:r>
      <w:r>
        <w:rPr/>
        <w:t>: No major structural defects; adequate plumbing and kitchen facilities; appearance which does not create a blighting influence; and the house meets additional, more stringent, local standards and building codes, including lead-based paint clearance.</w:t>
      </w:r>
    </w:p>
    <w:p>
      <w:pPr>
        <w:pStyle w:val="BodyText"/>
        <w:spacing w:before="4"/>
        <w:rPr>
          <w:sz w:val="16"/>
        </w:rPr>
      </w:pPr>
    </w:p>
    <w:p>
      <w:pPr>
        <w:spacing w:before="0"/>
        <w:ind w:left="120" w:right="0" w:firstLine="0"/>
        <w:jc w:val="left"/>
        <w:rPr>
          <w:sz w:val="22"/>
        </w:rPr>
      </w:pPr>
      <w:r>
        <w:rPr>
          <w:i/>
          <w:sz w:val="22"/>
        </w:rPr>
        <w:t>Substandard Condition</w:t>
      </w:r>
      <w:r>
        <w:rPr>
          <w:sz w:val="22"/>
        </w:rPr>
        <w:t>: A housing unit lacking complete kitchen and/or plumbing facilities.</w:t>
      </w:r>
    </w:p>
    <w:p>
      <w:pPr>
        <w:pStyle w:val="BodyText"/>
        <w:spacing w:before="8"/>
        <w:rPr>
          <w:sz w:val="19"/>
        </w:rPr>
      </w:pPr>
    </w:p>
    <w:p>
      <w:pPr>
        <w:spacing w:line="276" w:lineRule="auto" w:before="1"/>
        <w:ind w:left="120" w:right="275" w:firstLine="0"/>
        <w:jc w:val="left"/>
        <w:rPr>
          <w:sz w:val="22"/>
        </w:rPr>
      </w:pPr>
      <w:r>
        <w:rPr>
          <w:i/>
          <w:sz w:val="22"/>
        </w:rPr>
        <w:t>Substandard Condition but Suitable for Rehabilitation: </w:t>
      </w:r>
      <w:r>
        <w:rPr>
          <w:sz w:val="22"/>
        </w:rPr>
        <w:t>The nature of the substandard condition makes rehabilitation both financially </w:t>
      </w:r>
      <w:r>
        <w:rPr>
          <w:spacing w:val="-6"/>
          <w:sz w:val="22"/>
        </w:rPr>
        <w:t>and </w:t>
      </w:r>
      <w:r>
        <w:rPr>
          <w:sz w:val="22"/>
        </w:rPr>
        <w:t>structurally feasible.</w:t>
      </w:r>
    </w:p>
    <w:p>
      <w:pPr>
        <w:pStyle w:val="BodyText"/>
        <w:spacing w:before="4"/>
        <w:rPr>
          <w:sz w:val="16"/>
        </w:rPr>
      </w:pPr>
    </w:p>
    <w:p>
      <w:pPr>
        <w:pStyle w:val="Heading4"/>
        <w:spacing w:before="1"/>
        <w:ind w:left="120"/>
      </w:pPr>
      <w:r>
        <w:rPr/>
        <w:t>Condition of Units</w:t>
      </w:r>
    </w:p>
    <w:p>
      <w:pPr>
        <w:pStyle w:val="BodyText"/>
        <w:spacing w:before="7"/>
        <w:rPr>
          <w:b/>
          <w:sz w:val="19"/>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86"/>
        <w:gridCol w:w="1429"/>
        <w:gridCol w:w="1600"/>
        <w:gridCol w:w="1429"/>
        <w:gridCol w:w="1706"/>
      </w:tblGrid>
      <w:tr>
        <w:trPr>
          <w:trHeight w:val="263" w:hRule="atLeast"/>
        </w:trPr>
        <w:tc>
          <w:tcPr>
            <w:tcW w:w="3186" w:type="dxa"/>
            <w:vMerge w:val="restart"/>
          </w:tcPr>
          <w:p>
            <w:pPr>
              <w:pStyle w:val="TableParagraph"/>
              <w:spacing w:before="1"/>
              <w:ind w:left="761"/>
              <w:rPr>
                <w:b/>
                <w:sz w:val="22"/>
              </w:rPr>
            </w:pPr>
            <w:r>
              <w:rPr>
                <w:b/>
                <w:sz w:val="22"/>
              </w:rPr>
              <w:t>Condition of Units</w:t>
            </w:r>
          </w:p>
        </w:tc>
        <w:tc>
          <w:tcPr>
            <w:tcW w:w="3029" w:type="dxa"/>
            <w:gridSpan w:val="2"/>
          </w:tcPr>
          <w:p>
            <w:pPr>
              <w:pStyle w:val="TableParagraph"/>
              <w:spacing w:line="242" w:lineRule="exact" w:before="1"/>
              <w:ind w:left="742"/>
              <w:rPr>
                <w:b/>
                <w:sz w:val="22"/>
              </w:rPr>
            </w:pPr>
            <w:r>
              <w:rPr>
                <w:b/>
                <w:sz w:val="22"/>
              </w:rPr>
              <w:t>Owner-Occupied</w:t>
            </w:r>
          </w:p>
        </w:tc>
        <w:tc>
          <w:tcPr>
            <w:tcW w:w="3135" w:type="dxa"/>
            <w:gridSpan w:val="2"/>
          </w:tcPr>
          <w:p>
            <w:pPr>
              <w:pStyle w:val="TableParagraph"/>
              <w:spacing w:line="242" w:lineRule="exact" w:before="1"/>
              <w:ind w:left="796"/>
              <w:rPr>
                <w:b/>
                <w:sz w:val="22"/>
              </w:rPr>
            </w:pPr>
            <w:r>
              <w:rPr>
                <w:b/>
                <w:sz w:val="22"/>
              </w:rPr>
              <w:t>Renter-Occupied</w:t>
            </w:r>
          </w:p>
        </w:tc>
      </w:tr>
      <w:tr>
        <w:trPr>
          <w:trHeight w:val="263" w:hRule="atLeast"/>
        </w:trPr>
        <w:tc>
          <w:tcPr>
            <w:tcW w:w="3186" w:type="dxa"/>
            <w:vMerge/>
            <w:tcBorders>
              <w:top w:val="nil"/>
            </w:tcBorders>
          </w:tcPr>
          <w:p>
            <w:pPr>
              <w:rPr>
                <w:sz w:val="2"/>
                <w:szCs w:val="2"/>
              </w:rPr>
            </w:pPr>
          </w:p>
        </w:tc>
        <w:tc>
          <w:tcPr>
            <w:tcW w:w="1429" w:type="dxa"/>
          </w:tcPr>
          <w:p>
            <w:pPr>
              <w:pStyle w:val="TableParagraph"/>
              <w:spacing w:line="242" w:lineRule="exact" w:before="1"/>
              <w:ind w:left="337"/>
              <w:rPr>
                <w:b/>
                <w:sz w:val="22"/>
              </w:rPr>
            </w:pPr>
            <w:r>
              <w:rPr>
                <w:b/>
                <w:sz w:val="22"/>
              </w:rPr>
              <w:t>Number</w:t>
            </w:r>
          </w:p>
        </w:tc>
        <w:tc>
          <w:tcPr>
            <w:tcW w:w="1600" w:type="dxa"/>
          </w:tcPr>
          <w:p>
            <w:pPr>
              <w:pStyle w:val="TableParagraph"/>
              <w:spacing w:line="242" w:lineRule="exact" w:before="1"/>
              <w:ind w:left="10"/>
              <w:jc w:val="center"/>
              <w:rPr>
                <w:b/>
                <w:sz w:val="22"/>
              </w:rPr>
            </w:pPr>
            <w:r>
              <w:rPr>
                <w:b/>
                <w:sz w:val="22"/>
              </w:rPr>
              <w:t>%</w:t>
            </w:r>
          </w:p>
        </w:tc>
        <w:tc>
          <w:tcPr>
            <w:tcW w:w="1429" w:type="dxa"/>
          </w:tcPr>
          <w:p>
            <w:pPr>
              <w:pStyle w:val="TableParagraph"/>
              <w:spacing w:line="242" w:lineRule="exact" w:before="1"/>
              <w:ind w:left="337"/>
              <w:rPr>
                <w:b/>
                <w:sz w:val="22"/>
              </w:rPr>
            </w:pPr>
            <w:r>
              <w:rPr>
                <w:b/>
                <w:sz w:val="22"/>
              </w:rPr>
              <w:t>Number</w:t>
            </w:r>
          </w:p>
        </w:tc>
        <w:tc>
          <w:tcPr>
            <w:tcW w:w="1706" w:type="dxa"/>
          </w:tcPr>
          <w:p>
            <w:pPr>
              <w:pStyle w:val="TableParagraph"/>
              <w:spacing w:line="242" w:lineRule="exact" w:before="1"/>
              <w:ind w:left="10"/>
              <w:jc w:val="center"/>
              <w:rPr>
                <w:b/>
                <w:sz w:val="22"/>
              </w:rPr>
            </w:pPr>
            <w:r>
              <w:rPr>
                <w:b/>
                <w:sz w:val="22"/>
              </w:rPr>
              <w:t>%</w:t>
            </w:r>
          </w:p>
        </w:tc>
      </w:tr>
      <w:tr>
        <w:trPr>
          <w:trHeight w:val="503" w:hRule="atLeast"/>
        </w:trPr>
        <w:tc>
          <w:tcPr>
            <w:tcW w:w="3186" w:type="dxa"/>
          </w:tcPr>
          <w:p>
            <w:pPr>
              <w:pStyle w:val="TableParagraph"/>
              <w:spacing w:before="1"/>
              <w:ind w:left="112"/>
              <w:rPr>
                <w:sz w:val="22"/>
              </w:rPr>
            </w:pPr>
            <w:r>
              <w:rPr>
                <w:sz w:val="22"/>
              </w:rPr>
              <w:t>With one selected Condition</w:t>
            </w:r>
          </w:p>
        </w:tc>
        <w:tc>
          <w:tcPr>
            <w:tcW w:w="1429" w:type="dxa"/>
          </w:tcPr>
          <w:p>
            <w:pPr>
              <w:pStyle w:val="TableParagraph"/>
              <w:spacing w:before="1"/>
              <w:ind w:right="100"/>
              <w:jc w:val="right"/>
              <w:rPr>
                <w:sz w:val="22"/>
              </w:rPr>
            </w:pPr>
            <w:r>
              <w:rPr>
                <w:sz w:val="22"/>
              </w:rPr>
              <w:t>1,590</w:t>
            </w:r>
          </w:p>
        </w:tc>
        <w:tc>
          <w:tcPr>
            <w:tcW w:w="1600" w:type="dxa"/>
          </w:tcPr>
          <w:p>
            <w:pPr>
              <w:pStyle w:val="TableParagraph"/>
              <w:spacing w:before="1"/>
              <w:ind w:right="100"/>
              <w:jc w:val="right"/>
              <w:rPr>
                <w:sz w:val="22"/>
              </w:rPr>
            </w:pPr>
            <w:r>
              <w:rPr>
                <w:sz w:val="22"/>
              </w:rPr>
              <w:t>14%</w:t>
            </w:r>
          </w:p>
        </w:tc>
        <w:tc>
          <w:tcPr>
            <w:tcW w:w="1429" w:type="dxa"/>
          </w:tcPr>
          <w:p>
            <w:pPr>
              <w:pStyle w:val="TableParagraph"/>
              <w:spacing w:before="1"/>
              <w:ind w:right="100"/>
              <w:jc w:val="right"/>
              <w:rPr>
                <w:sz w:val="22"/>
              </w:rPr>
            </w:pPr>
            <w:r>
              <w:rPr>
                <w:sz w:val="22"/>
              </w:rPr>
              <w:t>11,235</w:t>
            </w:r>
          </w:p>
        </w:tc>
        <w:tc>
          <w:tcPr>
            <w:tcW w:w="1706" w:type="dxa"/>
          </w:tcPr>
          <w:p>
            <w:pPr>
              <w:pStyle w:val="TableParagraph"/>
              <w:spacing w:before="1"/>
              <w:ind w:right="100"/>
              <w:jc w:val="right"/>
              <w:rPr>
                <w:sz w:val="22"/>
              </w:rPr>
            </w:pPr>
            <w:r>
              <w:rPr>
                <w:sz w:val="22"/>
              </w:rPr>
              <w:t>54%</w:t>
            </w:r>
          </w:p>
        </w:tc>
      </w:tr>
      <w:tr>
        <w:trPr>
          <w:trHeight w:val="503" w:hRule="atLeast"/>
        </w:trPr>
        <w:tc>
          <w:tcPr>
            <w:tcW w:w="3186" w:type="dxa"/>
          </w:tcPr>
          <w:p>
            <w:pPr>
              <w:pStyle w:val="TableParagraph"/>
              <w:spacing w:before="1"/>
              <w:ind w:left="112"/>
              <w:rPr>
                <w:sz w:val="22"/>
              </w:rPr>
            </w:pPr>
            <w:r>
              <w:rPr>
                <w:sz w:val="22"/>
              </w:rPr>
              <w:t>With two selected Conditions</w:t>
            </w:r>
          </w:p>
        </w:tc>
        <w:tc>
          <w:tcPr>
            <w:tcW w:w="1429" w:type="dxa"/>
          </w:tcPr>
          <w:p>
            <w:pPr>
              <w:pStyle w:val="TableParagraph"/>
              <w:spacing w:before="1"/>
              <w:ind w:right="100"/>
              <w:jc w:val="right"/>
              <w:rPr>
                <w:sz w:val="22"/>
              </w:rPr>
            </w:pPr>
            <w:r>
              <w:rPr>
                <w:sz w:val="22"/>
              </w:rPr>
              <w:t>20</w:t>
            </w:r>
          </w:p>
        </w:tc>
        <w:tc>
          <w:tcPr>
            <w:tcW w:w="1600" w:type="dxa"/>
          </w:tcPr>
          <w:p>
            <w:pPr>
              <w:pStyle w:val="TableParagraph"/>
              <w:spacing w:before="1"/>
              <w:ind w:right="100"/>
              <w:jc w:val="right"/>
              <w:rPr>
                <w:sz w:val="22"/>
              </w:rPr>
            </w:pPr>
            <w:r>
              <w:rPr>
                <w:sz w:val="22"/>
              </w:rPr>
              <w:t>0%</w:t>
            </w:r>
          </w:p>
        </w:tc>
        <w:tc>
          <w:tcPr>
            <w:tcW w:w="1429" w:type="dxa"/>
          </w:tcPr>
          <w:p>
            <w:pPr>
              <w:pStyle w:val="TableParagraph"/>
              <w:spacing w:before="1"/>
              <w:ind w:right="100"/>
              <w:jc w:val="right"/>
              <w:rPr>
                <w:sz w:val="22"/>
              </w:rPr>
            </w:pPr>
            <w:r>
              <w:rPr>
                <w:sz w:val="22"/>
              </w:rPr>
              <w:t>365</w:t>
            </w:r>
          </w:p>
        </w:tc>
        <w:tc>
          <w:tcPr>
            <w:tcW w:w="1706" w:type="dxa"/>
          </w:tcPr>
          <w:p>
            <w:pPr>
              <w:pStyle w:val="TableParagraph"/>
              <w:spacing w:before="1"/>
              <w:ind w:right="100"/>
              <w:jc w:val="right"/>
              <w:rPr>
                <w:sz w:val="22"/>
              </w:rPr>
            </w:pPr>
            <w:r>
              <w:rPr>
                <w:sz w:val="22"/>
              </w:rPr>
              <w:t>2%</w:t>
            </w:r>
          </w:p>
        </w:tc>
      </w:tr>
      <w:tr>
        <w:trPr>
          <w:trHeight w:val="503" w:hRule="atLeast"/>
        </w:trPr>
        <w:tc>
          <w:tcPr>
            <w:tcW w:w="3186" w:type="dxa"/>
          </w:tcPr>
          <w:p>
            <w:pPr>
              <w:pStyle w:val="TableParagraph"/>
              <w:spacing w:before="1"/>
              <w:ind w:left="112"/>
              <w:rPr>
                <w:sz w:val="22"/>
              </w:rPr>
            </w:pPr>
            <w:r>
              <w:rPr>
                <w:sz w:val="22"/>
              </w:rPr>
              <w:t>With three selected Conditions</w:t>
            </w:r>
          </w:p>
        </w:tc>
        <w:tc>
          <w:tcPr>
            <w:tcW w:w="1429" w:type="dxa"/>
          </w:tcPr>
          <w:p>
            <w:pPr>
              <w:pStyle w:val="TableParagraph"/>
              <w:spacing w:before="1"/>
              <w:ind w:right="100"/>
              <w:jc w:val="right"/>
              <w:rPr>
                <w:sz w:val="22"/>
              </w:rPr>
            </w:pPr>
            <w:r>
              <w:rPr>
                <w:sz w:val="22"/>
              </w:rPr>
              <w:t>0</w:t>
            </w:r>
          </w:p>
        </w:tc>
        <w:tc>
          <w:tcPr>
            <w:tcW w:w="1600" w:type="dxa"/>
          </w:tcPr>
          <w:p>
            <w:pPr>
              <w:pStyle w:val="TableParagraph"/>
              <w:spacing w:before="1"/>
              <w:ind w:right="100"/>
              <w:jc w:val="right"/>
              <w:rPr>
                <w:sz w:val="22"/>
              </w:rPr>
            </w:pPr>
            <w:r>
              <w:rPr>
                <w:sz w:val="22"/>
              </w:rPr>
              <w:t>0%</w:t>
            </w:r>
          </w:p>
        </w:tc>
        <w:tc>
          <w:tcPr>
            <w:tcW w:w="1429" w:type="dxa"/>
          </w:tcPr>
          <w:p>
            <w:pPr>
              <w:pStyle w:val="TableParagraph"/>
              <w:spacing w:before="1"/>
              <w:ind w:right="100"/>
              <w:jc w:val="right"/>
              <w:rPr>
                <w:sz w:val="22"/>
              </w:rPr>
            </w:pPr>
            <w:r>
              <w:rPr>
                <w:sz w:val="22"/>
              </w:rPr>
              <w:t>25</w:t>
            </w:r>
          </w:p>
        </w:tc>
        <w:tc>
          <w:tcPr>
            <w:tcW w:w="1706" w:type="dxa"/>
          </w:tcPr>
          <w:p>
            <w:pPr>
              <w:pStyle w:val="TableParagraph"/>
              <w:spacing w:before="1"/>
              <w:ind w:right="100"/>
              <w:jc w:val="right"/>
              <w:rPr>
                <w:sz w:val="22"/>
              </w:rPr>
            </w:pPr>
            <w:r>
              <w:rPr>
                <w:sz w:val="22"/>
              </w:rPr>
              <w:t>0%</w:t>
            </w:r>
          </w:p>
        </w:tc>
      </w:tr>
      <w:tr>
        <w:trPr>
          <w:trHeight w:val="503" w:hRule="atLeast"/>
        </w:trPr>
        <w:tc>
          <w:tcPr>
            <w:tcW w:w="3186" w:type="dxa"/>
          </w:tcPr>
          <w:p>
            <w:pPr>
              <w:pStyle w:val="TableParagraph"/>
              <w:spacing w:before="1"/>
              <w:ind w:left="112"/>
              <w:rPr>
                <w:sz w:val="22"/>
              </w:rPr>
            </w:pPr>
            <w:r>
              <w:rPr>
                <w:sz w:val="22"/>
              </w:rPr>
              <w:t>With four selected Conditions</w:t>
            </w:r>
          </w:p>
        </w:tc>
        <w:tc>
          <w:tcPr>
            <w:tcW w:w="1429" w:type="dxa"/>
          </w:tcPr>
          <w:p>
            <w:pPr>
              <w:pStyle w:val="TableParagraph"/>
              <w:spacing w:before="1"/>
              <w:ind w:right="100"/>
              <w:jc w:val="right"/>
              <w:rPr>
                <w:sz w:val="22"/>
              </w:rPr>
            </w:pPr>
            <w:r>
              <w:rPr>
                <w:sz w:val="22"/>
              </w:rPr>
              <w:t>0</w:t>
            </w:r>
          </w:p>
        </w:tc>
        <w:tc>
          <w:tcPr>
            <w:tcW w:w="1600" w:type="dxa"/>
          </w:tcPr>
          <w:p>
            <w:pPr>
              <w:pStyle w:val="TableParagraph"/>
              <w:spacing w:before="1"/>
              <w:ind w:right="100"/>
              <w:jc w:val="right"/>
              <w:rPr>
                <w:sz w:val="22"/>
              </w:rPr>
            </w:pPr>
            <w:r>
              <w:rPr>
                <w:sz w:val="22"/>
              </w:rPr>
              <w:t>0%</w:t>
            </w:r>
          </w:p>
        </w:tc>
        <w:tc>
          <w:tcPr>
            <w:tcW w:w="1429" w:type="dxa"/>
          </w:tcPr>
          <w:p>
            <w:pPr>
              <w:pStyle w:val="TableParagraph"/>
              <w:spacing w:before="1"/>
              <w:ind w:right="100"/>
              <w:jc w:val="right"/>
              <w:rPr>
                <w:sz w:val="22"/>
              </w:rPr>
            </w:pPr>
            <w:r>
              <w:rPr>
                <w:sz w:val="22"/>
              </w:rPr>
              <w:t>0</w:t>
            </w:r>
          </w:p>
        </w:tc>
        <w:tc>
          <w:tcPr>
            <w:tcW w:w="1706" w:type="dxa"/>
          </w:tcPr>
          <w:p>
            <w:pPr>
              <w:pStyle w:val="TableParagraph"/>
              <w:spacing w:before="1"/>
              <w:ind w:right="100"/>
              <w:jc w:val="right"/>
              <w:rPr>
                <w:sz w:val="22"/>
              </w:rPr>
            </w:pPr>
            <w:r>
              <w:rPr>
                <w:sz w:val="22"/>
              </w:rPr>
              <w:t>0%</w:t>
            </w:r>
          </w:p>
        </w:tc>
      </w:tr>
      <w:tr>
        <w:trPr>
          <w:trHeight w:val="503" w:hRule="atLeast"/>
        </w:trPr>
        <w:tc>
          <w:tcPr>
            <w:tcW w:w="3186" w:type="dxa"/>
          </w:tcPr>
          <w:p>
            <w:pPr>
              <w:pStyle w:val="TableParagraph"/>
              <w:spacing w:before="1"/>
              <w:ind w:left="112"/>
              <w:rPr>
                <w:sz w:val="22"/>
              </w:rPr>
            </w:pPr>
            <w:r>
              <w:rPr>
                <w:sz w:val="22"/>
              </w:rPr>
              <w:t>No selected Conditions</w:t>
            </w:r>
          </w:p>
        </w:tc>
        <w:tc>
          <w:tcPr>
            <w:tcW w:w="1429" w:type="dxa"/>
          </w:tcPr>
          <w:p>
            <w:pPr>
              <w:pStyle w:val="TableParagraph"/>
              <w:spacing w:before="1"/>
              <w:ind w:right="100"/>
              <w:jc w:val="right"/>
              <w:rPr>
                <w:sz w:val="22"/>
              </w:rPr>
            </w:pPr>
            <w:r>
              <w:rPr>
                <w:sz w:val="22"/>
              </w:rPr>
              <w:t>9,670</w:t>
            </w:r>
          </w:p>
        </w:tc>
        <w:tc>
          <w:tcPr>
            <w:tcW w:w="1600" w:type="dxa"/>
          </w:tcPr>
          <w:p>
            <w:pPr>
              <w:pStyle w:val="TableParagraph"/>
              <w:spacing w:before="1"/>
              <w:ind w:right="100"/>
              <w:jc w:val="right"/>
              <w:rPr>
                <w:sz w:val="22"/>
              </w:rPr>
            </w:pPr>
            <w:r>
              <w:rPr>
                <w:sz w:val="22"/>
              </w:rPr>
              <w:t>86%</w:t>
            </w:r>
          </w:p>
        </w:tc>
        <w:tc>
          <w:tcPr>
            <w:tcW w:w="1429" w:type="dxa"/>
          </w:tcPr>
          <w:p>
            <w:pPr>
              <w:pStyle w:val="TableParagraph"/>
              <w:spacing w:before="1"/>
              <w:ind w:right="100"/>
              <w:jc w:val="right"/>
              <w:rPr>
                <w:sz w:val="22"/>
              </w:rPr>
            </w:pPr>
            <w:r>
              <w:rPr>
                <w:sz w:val="22"/>
              </w:rPr>
              <w:t>9,070</w:t>
            </w:r>
          </w:p>
        </w:tc>
        <w:tc>
          <w:tcPr>
            <w:tcW w:w="1706" w:type="dxa"/>
          </w:tcPr>
          <w:p>
            <w:pPr>
              <w:pStyle w:val="TableParagraph"/>
              <w:spacing w:before="1"/>
              <w:ind w:right="100"/>
              <w:jc w:val="right"/>
              <w:rPr>
                <w:sz w:val="22"/>
              </w:rPr>
            </w:pPr>
            <w:r>
              <w:rPr>
                <w:sz w:val="22"/>
              </w:rPr>
              <w:t>44%</w:t>
            </w:r>
          </w:p>
        </w:tc>
      </w:tr>
      <w:tr>
        <w:trPr>
          <w:trHeight w:val="418" w:hRule="atLeast"/>
        </w:trPr>
        <w:tc>
          <w:tcPr>
            <w:tcW w:w="3186" w:type="dxa"/>
          </w:tcPr>
          <w:p>
            <w:pPr>
              <w:pStyle w:val="TableParagraph"/>
              <w:spacing w:line="192" w:lineRule="exact"/>
              <w:ind w:left="112"/>
              <w:rPr>
                <w:rFonts w:ascii="Verdana"/>
                <w:b/>
                <w:i/>
                <w:sz w:val="16"/>
              </w:rPr>
            </w:pPr>
            <w:r>
              <w:rPr>
                <w:rFonts w:ascii="Verdana"/>
                <w:b/>
                <w:i/>
                <w:sz w:val="16"/>
              </w:rPr>
              <w:t>Total</w:t>
            </w:r>
          </w:p>
        </w:tc>
        <w:tc>
          <w:tcPr>
            <w:tcW w:w="1429" w:type="dxa"/>
          </w:tcPr>
          <w:p>
            <w:pPr>
              <w:pStyle w:val="TableParagraph"/>
              <w:spacing w:line="192" w:lineRule="exact"/>
              <w:ind w:right="100"/>
              <w:jc w:val="right"/>
              <w:rPr>
                <w:rFonts w:ascii="Verdana"/>
                <w:b/>
                <w:i/>
                <w:sz w:val="16"/>
              </w:rPr>
            </w:pPr>
            <w:r>
              <w:rPr>
                <w:rFonts w:ascii="Verdana"/>
                <w:b/>
                <w:i/>
                <w:sz w:val="16"/>
              </w:rPr>
              <w:t>11,280</w:t>
            </w:r>
          </w:p>
        </w:tc>
        <w:tc>
          <w:tcPr>
            <w:tcW w:w="1600" w:type="dxa"/>
          </w:tcPr>
          <w:p>
            <w:pPr>
              <w:pStyle w:val="TableParagraph"/>
              <w:spacing w:line="192" w:lineRule="exact"/>
              <w:ind w:right="100"/>
              <w:jc w:val="right"/>
              <w:rPr>
                <w:rFonts w:ascii="Verdana"/>
                <w:b/>
                <w:i/>
                <w:sz w:val="16"/>
              </w:rPr>
            </w:pPr>
            <w:r>
              <w:rPr>
                <w:rFonts w:ascii="Verdana"/>
                <w:b/>
                <w:i/>
                <w:sz w:val="16"/>
              </w:rPr>
              <w:t>100%</w:t>
            </w:r>
          </w:p>
        </w:tc>
        <w:tc>
          <w:tcPr>
            <w:tcW w:w="1429" w:type="dxa"/>
          </w:tcPr>
          <w:p>
            <w:pPr>
              <w:pStyle w:val="TableParagraph"/>
              <w:spacing w:line="192" w:lineRule="exact"/>
              <w:ind w:right="100"/>
              <w:jc w:val="right"/>
              <w:rPr>
                <w:rFonts w:ascii="Verdana"/>
                <w:b/>
                <w:i/>
                <w:sz w:val="16"/>
              </w:rPr>
            </w:pPr>
            <w:r>
              <w:rPr>
                <w:rFonts w:ascii="Verdana"/>
                <w:b/>
                <w:i/>
                <w:sz w:val="16"/>
              </w:rPr>
              <w:t>20,695</w:t>
            </w:r>
          </w:p>
        </w:tc>
        <w:tc>
          <w:tcPr>
            <w:tcW w:w="1706" w:type="dxa"/>
          </w:tcPr>
          <w:p>
            <w:pPr>
              <w:pStyle w:val="TableParagraph"/>
              <w:spacing w:line="192" w:lineRule="exact"/>
              <w:ind w:right="100"/>
              <w:jc w:val="right"/>
              <w:rPr>
                <w:rFonts w:ascii="Verdana"/>
                <w:b/>
                <w:i/>
                <w:sz w:val="16"/>
              </w:rPr>
            </w:pPr>
            <w:r>
              <w:rPr>
                <w:rFonts w:ascii="Verdana"/>
                <w:b/>
                <w:i/>
                <w:sz w:val="16"/>
              </w:rPr>
              <w:t>100%</w:t>
            </w:r>
          </w:p>
        </w:tc>
      </w:tr>
    </w:tbl>
    <w:p>
      <w:pPr>
        <w:spacing w:after="0" w:line="192" w:lineRule="exact"/>
        <w:jc w:val="right"/>
        <w:rPr>
          <w:rFonts w:ascii="Verdana"/>
          <w:sz w:val="16"/>
        </w:rPr>
        <w:sectPr>
          <w:headerReference w:type="default" r:id="rId51"/>
          <w:footerReference w:type="default" r:id="rId52"/>
          <w:pgSz w:w="15840" w:h="12240" w:orient="landscape"/>
          <w:pgMar w:header="0" w:footer="1072" w:top="1140" w:bottom="1260" w:left="1320" w:right="1320"/>
          <w:pgNumType w:start="69"/>
        </w:sectPr>
      </w:pPr>
    </w:p>
    <w:p>
      <w:pPr>
        <w:pStyle w:val="BodyText"/>
        <w:spacing w:before="11"/>
        <w:rPr>
          <w:b/>
          <w:sz w:val="16"/>
        </w:rPr>
      </w:pPr>
    </w:p>
    <w:p>
      <w:pPr>
        <w:spacing w:after="0"/>
        <w:rPr>
          <w:sz w:val="16"/>
        </w:rPr>
        <w:sectPr>
          <w:headerReference w:type="default" r:id="rId53"/>
          <w:footerReference w:type="default" r:id="rId54"/>
          <w:pgSz w:w="15840" w:h="12240" w:orient="landscape"/>
          <w:pgMar w:header="0" w:footer="1072" w:top="1140" w:bottom="1260" w:left="1320" w:right="1320"/>
          <w:pgNumType w:start="70"/>
        </w:sectPr>
      </w:pPr>
    </w:p>
    <w:p>
      <w:pPr>
        <w:pStyle w:val="BodyText"/>
        <w:rPr>
          <w:b/>
          <w:sz w:val="16"/>
        </w:rPr>
      </w:pPr>
    </w:p>
    <w:p>
      <w:pPr>
        <w:spacing w:before="131"/>
        <w:ind w:left="235" w:right="20" w:firstLine="0"/>
        <w:jc w:val="left"/>
        <w:rPr>
          <w:b/>
          <w:sz w:val="16"/>
        </w:rPr>
      </w:pPr>
      <w:r>
        <w:rPr>
          <w:b/>
          <w:sz w:val="16"/>
        </w:rPr>
        <w:t>Data Source:</w:t>
      </w:r>
    </w:p>
    <w:p>
      <w:pPr>
        <w:pStyle w:val="BodyText"/>
        <w:rPr>
          <w:b/>
          <w:sz w:val="16"/>
        </w:rPr>
      </w:pPr>
      <w:r>
        <w:rPr/>
        <w:br w:type="column"/>
      </w:r>
      <w:r>
        <w:rPr>
          <w:b/>
          <w:sz w:val="16"/>
        </w:rPr>
      </w:r>
    </w:p>
    <w:p>
      <w:pPr>
        <w:spacing w:before="131"/>
        <w:ind w:left="235" w:right="0" w:firstLine="0"/>
        <w:jc w:val="left"/>
        <w:rPr>
          <w:sz w:val="16"/>
        </w:rPr>
      </w:pPr>
      <w:r>
        <w:rPr>
          <w:sz w:val="16"/>
        </w:rPr>
        <w:t>2016-2020 ACS</w:t>
      </w:r>
    </w:p>
    <w:p>
      <w:pPr>
        <w:spacing w:before="93"/>
        <w:ind w:left="235" w:right="0" w:firstLine="0"/>
        <w:jc w:val="left"/>
        <w:rPr>
          <w:rFonts w:ascii="Arial"/>
          <w:b/>
          <w:sz w:val="20"/>
        </w:rPr>
      </w:pPr>
      <w:r>
        <w:rPr/>
        <w:br w:type="column"/>
      </w:r>
      <w:r>
        <w:rPr>
          <w:rFonts w:ascii="Arial"/>
          <w:b/>
          <w:sz w:val="20"/>
        </w:rPr>
        <w:t>Table 37 - Condition of Units</w:t>
      </w:r>
    </w:p>
    <w:p>
      <w:pPr>
        <w:spacing w:after="0"/>
        <w:jc w:val="left"/>
        <w:rPr>
          <w:rFonts w:ascii="Arial"/>
          <w:sz w:val="20"/>
        </w:rPr>
        <w:sectPr>
          <w:type w:val="continuous"/>
          <w:pgSz w:w="15840" w:h="12240" w:orient="landscape"/>
          <w:pgMar w:top="1340" w:bottom="1520" w:left="1320" w:right="1320"/>
          <w:cols w:num="3" w:equalWidth="0">
            <w:col w:w="772" w:space="292"/>
            <w:col w:w="1261" w:space="2685"/>
            <w:col w:w="8190"/>
          </w:cols>
        </w:sectPr>
      </w:pPr>
    </w:p>
    <w:p>
      <w:pPr>
        <w:pStyle w:val="BodyText"/>
        <w:rPr>
          <w:rFonts w:ascii="Arial"/>
          <w:b/>
          <w:sz w:val="20"/>
        </w:rPr>
      </w:pPr>
    </w:p>
    <w:p>
      <w:pPr>
        <w:pStyle w:val="BodyText"/>
        <w:spacing w:before="3"/>
        <w:rPr>
          <w:rFonts w:ascii="Arial"/>
          <w:b/>
          <w:sz w:val="25"/>
        </w:rPr>
      </w:pPr>
    </w:p>
    <w:p>
      <w:pPr>
        <w:pStyle w:val="Heading4"/>
        <w:spacing w:before="52"/>
        <w:ind w:left="120"/>
      </w:pPr>
      <w:r>
        <w:rPr/>
        <w:t>Year Unit Built</w:t>
      </w:r>
    </w:p>
    <w:p>
      <w:pPr>
        <w:pStyle w:val="BodyText"/>
        <w:spacing w:before="8"/>
        <w:rPr>
          <w:b/>
          <w:sz w:val="19"/>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66"/>
        <w:gridCol w:w="1437"/>
        <w:gridCol w:w="1603"/>
        <w:gridCol w:w="1437"/>
        <w:gridCol w:w="1707"/>
      </w:tblGrid>
      <w:tr>
        <w:trPr>
          <w:trHeight w:val="263" w:hRule="atLeast"/>
        </w:trPr>
        <w:tc>
          <w:tcPr>
            <w:tcW w:w="3166" w:type="dxa"/>
            <w:vMerge w:val="restart"/>
          </w:tcPr>
          <w:p>
            <w:pPr>
              <w:pStyle w:val="TableParagraph"/>
              <w:spacing w:before="1"/>
              <w:ind w:left="915"/>
              <w:rPr>
                <w:b/>
                <w:sz w:val="22"/>
              </w:rPr>
            </w:pPr>
            <w:r>
              <w:rPr>
                <w:b/>
                <w:sz w:val="22"/>
              </w:rPr>
              <w:t>Year Unit Built</w:t>
            </w:r>
          </w:p>
        </w:tc>
        <w:tc>
          <w:tcPr>
            <w:tcW w:w="3040" w:type="dxa"/>
            <w:gridSpan w:val="2"/>
          </w:tcPr>
          <w:p>
            <w:pPr>
              <w:pStyle w:val="TableParagraph"/>
              <w:spacing w:line="242" w:lineRule="exact" w:before="1"/>
              <w:ind w:left="748"/>
              <w:rPr>
                <w:b/>
                <w:sz w:val="22"/>
              </w:rPr>
            </w:pPr>
            <w:r>
              <w:rPr>
                <w:b/>
                <w:sz w:val="22"/>
              </w:rPr>
              <w:t>Owner-Occupied</w:t>
            </w:r>
          </w:p>
        </w:tc>
        <w:tc>
          <w:tcPr>
            <w:tcW w:w="3144" w:type="dxa"/>
            <w:gridSpan w:val="2"/>
          </w:tcPr>
          <w:p>
            <w:pPr>
              <w:pStyle w:val="TableParagraph"/>
              <w:spacing w:line="242" w:lineRule="exact" w:before="1"/>
              <w:ind w:left="800"/>
              <w:rPr>
                <w:b/>
                <w:sz w:val="22"/>
              </w:rPr>
            </w:pPr>
            <w:r>
              <w:rPr>
                <w:b/>
                <w:sz w:val="22"/>
              </w:rPr>
              <w:t>Renter-Occupied</w:t>
            </w:r>
          </w:p>
        </w:tc>
      </w:tr>
      <w:tr>
        <w:trPr>
          <w:trHeight w:val="263" w:hRule="atLeast"/>
        </w:trPr>
        <w:tc>
          <w:tcPr>
            <w:tcW w:w="3166" w:type="dxa"/>
            <w:vMerge/>
            <w:tcBorders>
              <w:top w:val="nil"/>
            </w:tcBorders>
          </w:tcPr>
          <w:p>
            <w:pPr>
              <w:rPr>
                <w:sz w:val="2"/>
                <w:szCs w:val="2"/>
              </w:rPr>
            </w:pPr>
          </w:p>
        </w:tc>
        <w:tc>
          <w:tcPr>
            <w:tcW w:w="1437" w:type="dxa"/>
          </w:tcPr>
          <w:p>
            <w:pPr>
              <w:pStyle w:val="TableParagraph"/>
              <w:spacing w:line="242" w:lineRule="exact" w:before="1"/>
              <w:ind w:left="341"/>
              <w:rPr>
                <w:b/>
                <w:sz w:val="22"/>
              </w:rPr>
            </w:pPr>
            <w:r>
              <w:rPr>
                <w:b/>
                <w:sz w:val="22"/>
              </w:rPr>
              <w:t>Number</w:t>
            </w:r>
          </w:p>
        </w:tc>
        <w:tc>
          <w:tcPr>
            <w:tcW w:w="1603" w:type="dxa"/>
          </w:tcPr>
          <w:p>
            <w:pPr>
              <w:pStyle w:val="TableParagraph"/>
              <w:spacing w:line="242" w:lineRule="exact" w:before="1"/>
              <w:ind w:left="10"/>
              <w:jc w:val="center"/>
              <w:rPr>
                <w:b/>
                <w:sz w:val="22"/>
              </w:rPr>
            </w:pPr>
            <w:r>
              <w:rPr>
                <w:b/>
                <w:sz w:val="22"/>
              </w:rPr>
              <w:t>%</w:t>
            </w:r>
          </w:p>
        </w:tc>
        <w:tc>
          <w:tcPr>
            <w:tcW w:w="1437" w:type="dxa"/>
          </w:tcPr>
          <w:p>
            <w:pPr>
              <w:pStyle w:val="TableParagraph"/>
              <w:spacing w:line="242" w:lineRule="exact" w:before="1"/>
              <w:ind w:left="341"/>
              <w:rPr>
                <w:b/>
                <w:sz w:val="22"/>
              </w:rPr>
            </w:pPr>
            <w:r>
              <w:rPr>
                <w:b/>
                <w:sz w:val="22"/>
              </w:rPr>
              <w:t>Number</w:t>
            </w:r>
          </w:p>
        </w:tc>
        <w:tc>
          <w:tcPr>
            <w:tcW w:w="1707" w:type="dxa"/>
          </w:tcPr>
          <w:p>
            <w:pPr>
              <w:pStyle w:val="TableParagraph"/>
              <w:spacing w:line="242" w:lineRule="exact" w:before="1"/>
              <w:ind w:left="10"/>
              <w:jc w:val="center"/>
              <w:rPr>
                <w:b/>
                <w:sz w:val="22"/>
              </w:rPr>
            </w:pPr>
            <w:r>
              <w:rPr>
                <w:b/>
                <w:sz w:val="22"/>
              </w:rPr>
              <w:t>%</w:t>
            </w:r>
          </w:p>
        </w:tc>
      </w:tr>
      <w:tr>
        <w:trPr>
          <w:trHeight w:val="503" w:hRule="atLeast"/>
        </w:trPr>
        <w:tc>
          <w:tcPr>
            <w:tcW w:w="3166" w:type="dxa"/>
          </w:tcPr>
          <w:p>
            <w:pPr>
              <w:pStyle w:val="TableParagraph"/>
              <w:spacing w:before="1"/>
              <w:ind w:left="112"/>
              <w:rPr>
                <w:sz w:val="22"/>
              </w:rPr>
            </w:pPr>
            <w:r>
              <w:rPr>
                <w:sz w:val="22"/>
              </w:rPr>
              <w:t>2000 or later</w:t>
            </w:r>
          </w:p>
        </w:tc>
        <w:tc>
          <w:tcPr>
            <w:tcW w:w="1437" w:type="dxa"/>
          </w:tcPr>
          <w:p>
            <w:pPr>
              <w:pStyle w:val="TableParagraph"/>
              <w:spacing w:before="1"/>
              <w:ind w:right="100"/>
              <w:jc w:val="right"/>
              <w:rPr>
                <w:sz w:val="22"/>
              </w:rPr>
            </w:pPr>
            <w:r>
              <w:rPr>
                <w:sz w:val="22"/>
              </w:rPr>
              <w:t>1,759</w:t>
            </w:r>
          </w:p>
        </w:tc>
        <w:tc>
          <w:tcPr>
            <w:tcW w:w="1603" w:type="dxa"/>
          </w:tcPr>
          <w:p>
            <w:pPr>
              <w:pStyle w:val="TableParagraph"/>
              <w:spacing w:before="1"/>
              <w:ind w:right="100"/>
              <w:jc w:val="right"/>
              <w:rPr>
                <w:sz w:val="22"/>
              </w:rPr>
            </w:pPr>
            <w:r>
              <w:rPr>
                <w:sz w:val="22"/>
              </w:rPr>
              <w:t>16%</w:t>
            </w:r>
          </w:p>
        </w:tc>
        <w:tc>
          <w:tcPr>
            <w:tcW w:w="1437" w:type="dxa"/>
          </w:tcPr>
          <w:p>
            <w:pPr>
              <w:pStyle w:val="TableParagraph"/>
              <w:spacing w:before="1"/>
              <w:ind w:right="100"/>
              <w:jc w:val="right"/>
              <w:rPr>
                <w:sz w:val="22"/>
              </w:rPr>
            </w:pPr>
            <w:r>
              <w:rPr>
                <w:sz w:val="22"/>
              </w:rPr>
              <w:t>4,559</w:t>
            </w:r>
          </w:p>
        </w:tc>
        <w:tc>
          <w:tcPr>
            <w:tcW w:w="1707" w:type="dxa"/>
          </w:tcPr>
          <w:p>
            <w:pPr>
              <w:pStyle w:val="TableParagraph"/>
              <w:spacing w:before="1"/>
              <w:ind w:right="100"/>
              <w:jc w:val="right"/>
              <w:rPr>
                <w:sz w:val="22"/>
              </w:rPr>
            </w:pPr>
            <w:r>
              <w:rPr>
                <w:sz w:val="22"/>
              </w:rPr>
              <w:t>22%</w:t>
            </w:r>
          </w:p>
        </w:tc>
      </w:tr>
      <w:tr>
        <w:trPr>
          <w:trHeight w:val="503" w:hRule="atLeast"/>
        </w:trPr>
        <w:tc>
          <w:tcPr>
            <w:tcW w:w="3166" w:type="dxa"/>
          </w:tcPr>
          <w:p>
            <w:pPr>
              <w:pStyle w:val="TableParagraph"/>
              <w:spacing w:before="1"/>
              <w:ind w:left="112"/>
              <w:rPr>
                <w:sz w:val="22"/>
              </w:rPr>
            </w:pPr>
            <w:r>
              <w:rPr>
                <w:sz w:val="22"/>
              </w:rPr>
              <w:t>1980-1999</w:t>
            </w:r>
          </w:p>
        </w:tc>
        <w:tc>
          <w:tcPr>
            <w:tcW w:w="1437" w:type="dxa"/>
          </w:tcPr>
          <w:p>
            <w:pPr>
              <w:pStyle w:val="TableParagraph"/>
              <w:spacing w:before="1"/>
              <w:ind w:right="100"/>
              <w:jc w:val="right"/>
              <w:rPr>
                <w:sz w:val="22"/>
              </w:rPr>
            </w:pPr>
            <w:r>
              <w:rPr>
                <w:sz w:val="22"/>
              </w:rPr>
              <w:t>4,020</w:t>
            </w:r>
          </w:p>
        </w:tc>
        <w:tc>
          <w:tcPr>
            <w:tcW w:w="1603" w:type="dxa"/>
          </w:tcPr>
          <w:p>
            <w:pPr>
              <w:pStyle w:val="TableParagraph"/>
              <w:spacing w:before="1"/>
              <w:ind w:right="100"/>
              <w:jc w:val="right"/>
              <w:rPr>
                <w:sz w:val="22"/>
              </w:rPr>
            </w:pPr>
            <w:r>
              <w:rPr>
                <w:sz w:val="22"/>
              </w:rPr>
              <w:t>36%</w:t>
            </w:r>
          </w:p>
        </w:tc>
        <w:tc>
          <w:tcPr>
            <w:tcW w:w="1437" w:type="dxa"/>
          </w:tcPr>
          <w:p>
            <w:pPr>
              <w:pStyle w:val="TableParagraph"/>
              <w:spacing w:before="1"/>
              <w:ind w:right="100"/>
              <w:jc w:val="right"/>
              <w:rPr>
                <w:sz w:val="22"/>
              </w:rPr>
            </w:pPr>
            <w:r>
              <w:rPr>
                <w:sz w:val="22"/>
              </w:rPr>
              <w:t>7,390</w:t>
            </w:r>
          </w:p>
        </w:tc>
        <w:tc>
          <w:tcPr>
            <w:tcW w:w="1707" w:type="dxa"/>
          </w:tcPr>
          <w:p>
            <w:pPr>
              <w:pStyle w:val="TableParagraph"/>
              <w:spacing w:before="1"/>
              <w:ind w:right="100"/>
              <w:jc w:val="right"/>
              <w:rPr>
                <w:sz w:val="22"/>
              </w:rPr>
            </w:pPr>
            <w:r>
              <w:rPr>
                <w:sz w:val="22"/>
              </w:rPr>
              <w:t>36%</w:t>
            </w:r>
          </w:p>
        </w:tc>
      </w:tr>
      <w:tr>
        <w:trPr>
          <w:trHeight w:val="503" w:hRule="atLeast"/>
        </w:trPr>
        <w:tc>
          <w:tcPr>
            <w:tcW w:w="3166" w:type="dxa"/>
          </w:tcPr>
          <w:p>
            <w:pPr>
              <w:pStyle w:val="TableParagraph"/>
              <w:spacing w:before="1"/>
              <w:ind w:left="112"/>
              <w:rPr>
                <w:sz w:val="22"/>
              </w:rPr>
            </w:pPr>
            <w:r>
              <w:rPr>
                <w:sz w:val="22"/>
              </w:rPr>
              <w:t>1950-1979</w:t>
            </w:r>
          </w:p>
        </w:tc>
        <w:tc>
          <w:tcPr>
            <w:tcW w:w="1437" w:type="dxa"/>
          </w:tcPr>
          <w:p>
            <w:pPr>
              <w:pStyle w:val="TableParagraph"/>
              <w:spacing w:before="1"/>
              <w:ind w:right="100"/>
              <w:jc w:val="right"/>
              <w:rPr>
                <w:sz w:val="22"/>
              </w:rPr>
            </w:pPr>
            <w:r>
              <w:rPr>
                <w:sz w:val="22"/>
              </w:rPr>
              <w:t>3,835</w:t>
            </w:r>
          </w:p>
        </w:tc>
        <w:tc>
          <w:tcPr>
            <w:tcW w:w="1603" w:type="dxa"/>
          </w:tcPr>
          <w:p>
            <w:pPr>
              <w:pStyle w:val="TableParagraph"/>
              <w:spacing w:before="1"/>
              <w:ind w:right="100"/>
              <w:jc w:val="right"/>
              <w:rPr>
                <w:sz w:val="22"/>
              </w:rPr>
            </w:pPr>
            <w:r>
              <w:rPr>
                <w:sz w:val="22"/>
              </w:rPr>
              <w:t>34%</w:t>
            </w:r>
          </w:p>
        </w:tc>
        <w:tc>
          <w:tcPr>
            <w:tcW w:w="1437" w:type="dxa"/>
          </w:tcPr>
          <w:p>
            <w:pPr>
              <w:pStyle w:val="TableParagraph"/>
              <w:spacing w:before="1"/>
              <w:ind w:right="100"/>
              <w:jc w:val="right"/>
              <w:rPr>
                <w:sz w:val="22"/>
              </w:rPr>
            </w:pPr>
            <w:r>
              <w:rPr>
                <w:sz w:val="22"/>
              </w:rPr>
              <w:t>6,825</w:t>
            </w:r>
          </w:p>
        </w:tc>
        <w:tc>
          <w:tcPr>
            <w:tcW w:w="1707" w:type="dxa"/>
          </w:tcPr>
          <w:p>
            <w:pPr>
              <w:pStyle w:val="TableParagraph"/>
              <w:spacing w:before="1"/>
              <w:ind w:right="100"/>
              <w:jc w:val="right"/>
              <w:rPr>
                <w:sz w:val="22"/>
              </w:rPr>
            </w:pPr>
            <w:r>
              <w:rPr>
                <w:sz w:val="22"/>
              </w:rPr>
              <w:t>33%</w:t>
            </w:r>
          </w:p>
        </w:tc>
      </w:tr>
      <w:tr>
        <w:trPr>
          <w:trHeight w:val="503" w:hRule="atLeast"/>
        </w:trPr>
        <w:tc>
          <w:tcPr>
            <w:tcW w:w="3166" w:type="dxa"/>
          </w:tcPr>
          <w:p>
            <w:pPr>
              <w:pStyle w:val="TableParagraph"/>
              <w:spacing w:before="1"/>
              <w:ind w:left="112"/>
              <w:rPr>
                <w:sz w:val="22"/>
              </w:rPr>
            </w:pPr>
            <w:r>
              <w:rPr>
                <w:sz w:val="22"/>
              </w:rPr>
              <w:t>Before 1950</w:t>
            </w:r>
          </w:p>
        </w:tc>
        <w:tc>
          <w:tcPr>
            <w:tcW w:w="1437" w:type="dxa"/>
          </w:tcPr>
          <w:p>
            <w:pPr>
              <w:pStyle w:val="TableParagraph"/>
              <w:spacing w:before="1"/>
              <w:ind w:right="100"/>
              <w:jc w:val="right"/>
              <w:rPr>
                <w:sz w:val="22"/>
              </w:rPr>
            </w:pPr>
            <w:r>
              <w:rPr>
                <w:sz w:val="22"/>
              </w:rPr>
              <w:t>1,665</w:t>
            </w:r>
          </w:p>
        </w:tc>
        <w:tc>
          <w:tcPr>
            <w:tcW w:w="1603" w:type="dxa"/>
          </w:tcPr>
          <w:p>
            <w:pPr>
              <w:pStyle w:val="TableParagraph"/>
              <w:spacing w:before="1"/>
              <w:ind w:right="100"/>
              <w:jc w:val="right"/>
              <w:rPr>
                <w:sz w:val="22"/>
              </w:rPr>
            </w:pPr>
            <w:r>
              <w:rPr>
                <w:sz w:val="22"/>
              </w:rPr>
              <w:t>15%</w:t>
            </w:r>
          </w:p>
        </w:tc>
        <w:tc>
          <w:tcPr>
            <w:tcW w:w="1437" w:type="dxa"/>
          </w:tcPr>
          <w:p>
            <w:pPr>
              <w:pStyle w:val="TableParagraph"/>
              <w:spacing w:before="1"/>
              <w:ind w:right="100"/>
              <w:jc w:val="right"/>
              <w:rPr>
                <w:sz w:val="22"/>
              </w:rPr>
            </w:pPr>
            <w:r>
              <w:rPr>
                <w:sz w:val="22"/>
              </w:rPr>
              <w:t>1,925</w:t>
            </w:r>
          </w:p>
        </w:tc>
        <w:tc>
          <w:tcPr>
            <w:tcW w:w="1707" w:type="dxa"/>
          </w:tcPr>
          <w:p>
            <w:pPr>
              <w:pStyle w:val="TableParagraph"/>
              <w:spacing w:before="1"/>
              <w:ind w:right="100"/>
              <w:jc w:val="right"/>
              <w:rPr>
                <w:sz w:val="22"/>
              </w:rPr>
            </w:pPr>
            <w:r>
              <w:rPr>
                <w:sz w:val="22"/>
              </w:rPr>
              <w:t>9%</w:t>
            </w:r>
          </w:p>
        </w:tc>
      </w:tr>
      <w:tr>
        <w:trPr>
          <w:trHeight w:val="418" w:hRule="atLeast"/>
        </w:trPr>
        <w:tc>
          <w:tcPr>
            <w:tcW w:w="3166" w:type="dxa"/>
          </w:tcPr>
          <w:p>
            <w:pPr>
              <w:pStyle w:val="TableParagraph"/>
              <w:spacing w:line="192" w:lineRule="exact"/>
              <w:ind w:left="112"/>
              <w:rPr>
                <w:rFonts w:ascii="Verdana"/>
                <w:b/>
                <w:i/>
                <w:sz w:val="16"/>
              </w:rPr>
            </w:pPr>
            <w:r>
              <w:rPr>
                <w:rFonts w:ascii="Verdana"/>
                <w:b/>
                <w:i/>
                <w:sz w:val="16"/>
              </w:rPr>
              <w:t>Total</w:t>
            </w:r>
          </w:p>
        </w:tc>
        <w:tc>
          <w:tcPr>
            <w:tcW w:w="1437" w:type="dxa"/>
          </w:tcPr>
          <w:p>
            <w:pPr>
              <w:pStyle w:val="TableParagraph"/>
              <w:spacing w:line="192" w:lineRule="exact"/>
              <w:ind w:right="100"/>
              <w:jc w:val="right"/>
              <w:rPr>
                <w:rFonts w:ascii="Verdana"/>
                <w:b/>
                <w:i/>
                <w:sz w:val="16"/>
              </w:rPr>
            </w:pPr>
            <w:r>
              <w:rPr>
                <w:rFonts w:ascii="Verdana"/>
                <w:b/>
                <w:i/>
                <w:sz w:val="16"/>
              </w:rPr>
              <w:t>11,279</w:t>
            </w:r>
          </w:p>
        </w:tc>
        <w:tc>
          <w:tcPr>
            <w:tcW w:w="1603" w:type="dxa"/>
          </w:tcPr>
          <w:p>
            <w:pPr>
              <w:pStyle w:val="TableParagraph"/>
              <w:spacing w:line="192" w:lineRule="exact"/>
              <w:ind w:right="100"/>
              <w:jc w:val="right"/>
              <w:rPr>
                <w:rFonts w:ascii="Verdana"/>
                <w:b/>
                <w:i/>
                <w:sz w:val="16"/>
              </w:rPr>
            </w:pPr>
            <w:r>
              <w:rPr>
                <w:rFonts w:ascii="Verdana"/>
                <w:b/>
                <w:i/>
                <w:sz w:val="16"/>
              </w:rPr>
              <w:t>101%</w:t>
            </w:r>
          </w:p>
        </w:tc>
        <w:tc>
          <w:tcPr>
            <w:tcW w:w="1437" w:type="dxa"/>
          </w:tcPr>
          <w:p>
            <w:pPr>
              <w:pStyle w:val="TableParagraph"/>
              <w:spacing w:line="192" w:lineRule="exact"/>
              <w:ind w:right="100"/>
              <w:jc w:val="right"/>
              <w:rPr>
                <w:rFonts w:ascii="Verdana"/>
                <w:b/>
                <w:i/>
                <w:sz w:val="16"/>
              </w:rPr>
            </w:pPr>
            <w:r>
              <w:rPr>
                <w:rFonts w:ascii="Verdana"/>
                <w:b/>
                <w:i/>
                <w:sz w:val="16"/>
              </w:rPr>
              <w:t>20,699</w:t>
            </w:r>
          </w:p>
        </w:tc>
        <w:tc>
          <w:tcPr>
            <w:tcW w:w="1707" w:type="dxa"/>
          </w:tcPr>
          <w:p>
            <w:pPr>
              <w:pStyle w:val="TableParagraph"/>
              <w:spacing w:line="192" w:lineRule="exact"/>
              <w:ind w:right="100"/>
              <w:jc w:val="right"/>
              <w:rPr>
                <w:rFonts w:ascii="Verdana"/>
                <w:b/>
                <w:i/>
                <w:sz w:val="16"/>
              </w:rPr>
            </w:pPr>
            <w:r>
              <w:rPr>
                <w:rFonts w:ascii="Verdana"/>
                <w:b/>
                <w:i/>
                <w:sz w:val="16"/>
              </w:rPr>
              <w:t>100%</w:t>
            </w:r>
          </w:p>
        </w:tc>
      </w:tr>
    </w:tbl>
    <w:p>
      <w:pPr>
        <w:spacing w:after="0" w:line="192" w:lineRule="exact"/>
        <w:jc w:val="right"/>
        <w:rPr>
          <w:rFonts w:ascii="Verdana"/>
          <w:sz w:val="16"/>
        </w:rPr>
        <w:sectPr>
          <w:type w:val="continuous"/>
          <w:pgSz w:w="15840" w:h="12240" w:orient="landscape"/>
          <w:pgMar w:top="1340" w:bottom="1520" w:left="1320" w:right="1320"/>
        </w:sectPr>
      </w:pPr>
    </w:p>
    <w:p>
      <w:pPr>
        <w:pStyle w:val="BodyText"/>
        <w:spacing w:before="1"/>
        <w:rPr>
          <w:b/>
          <w:sz w:val="19"/>
        </w:rPr>
      </w:pPr>
    </w:p>
    <w:p>
      <w:pPr>
        <w:spacing w:before="0"/>
        <w:ind w:left="2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235" w:right="0" w:firstLine="0"/>
        <w:jc w:val="left"/>
        <w:rPr>
          <w:sz w:val="16"/>
        </w:rPr>
      </w:pPr>
      <w:r>
        <w:rPr>
          <w:sz w:val="16"/>
        </w:rPr>
        <w:t>2016-2020 CHAS</w:t>
      </w:r>
    </w:p>
    <w:p>
      <w:pPr>
        <w:spacing w:before="0"/>
        <w:ind w:left="235" w:right="0" w:firstLine="0"/>
        <w:jc w:val="left"/>
        <w:rPr>
          <w:rFonts w:ascii="Arial" w:hAnsi="Arial"/>
          <w:b/>
          <w:sz w:val="20"/>
        </w:rPr>
      </w:pPr>
      <w:r>
        <w:rPr/>
        <w:br w:type="column"/>
      </w:r>
      <w:r>
        <w:rPr>
          <w:rFonts w:ascii="Arial" w:hAnsi="Arial"/>
          <w:b/>
          <w:sz w:val="20"/>
        </w:rPr>
        <w:t>Table 38 – Year Unit Built</w:t>
      </w:r>
    </w:p>
    <w:p>
      <w:pPr>
        <w:spacing w:after="0"/>
        <w:jc w:val="left"/>
        <w:rPr>
          <w:rFonts w:ascii="Arial" w:hAnsi="Arial"/>
          <w:sz w:val="20"/>
        </w:rPr>
        <w:sectPr>
          <w:type w:val="continuous"/>
          <w:pgSz w:w="15840" w:h="12240" w:orient="landscape"/>
          <w:pgMar w:top="1340" w:bottom="1520" w:left="1320" w:right="1320"/>
          <w:cols w:num="3" w:equalWidth="0">
            <w:col w:w="772" w:space="292"/>
            <w:col w:w="1361" w:space="2740"/>
            <w:col w:w="8035"/>
          </w:cols>
        </w:sectPr>
      </w:pPr>
    </w:p>
    <w:p>
      <w:pPr>
        <w:pStyle w:val="BodyText"/>
        <w:rPr>
          <w:rFonts w:ascii="Arial"/>
          <w:b/>
          <w:sz w:val="20"/>
        </w:rPr>
      </w:pPr>
    </w:p>
    <w:p>
      <w:pPr>
        <w:pStyle w:val="BodyText"/>
        <w:spacing w:before="3"/>
        <w:rPr>
          <w:rFonts w:ascii="Arial"/>
          <w:b/>
          <w:sz w:val="25"/>
        </w:rPr>
      </w:pPr>
    </w:p>
    <w:p>
      <w:pPr>
        <w:pStyle w:val="Heading4"/>
        <w:spacing w:before="52"/>
        <w:ind w:left="120"/>
      </w:pPr>
      <w:r>
        <w:rPr/>
        <w:t>Risk of Lead-Based Paint Hazard</w:t>
      </w: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2"/>
        <w:gridCol w:w="1052"/>
        <w:gridCol w:w="1052"/>
        <w:gridCol w:w="1052"/>
        <w:gridCol w:w="1052"/>
      </w:tblGrid>
      <w:tr>
        <w:trPr>
          <w:trHeight w:val="263" w:hRule="atLeast"/>
        </w:trPr>
        <w:tc>
          <w:tcPr>
            <w:tcW w:w="5142" w:type="dxa"/>
            <w:vMerge w:val="restart"/>
          </w:tcPr>
          <w:p>
            <w:pPr>
              <w:pStyle w:val="TableParagraph"/>
              <w:spacing w:line="266" w:lineRule="exact"/>
              <w:ind w:left="1109"/>
              <w:rPr>
                <w:b/>
                <w:sz w:val="22"/>
              </w:rPr>
            </w:pPr>
            <w:r>
              <w:rPr>
                <w:b/>
                <w:sz w:val="22"/>
              </w:rPr>
              <w:t>Risk of Lead-Based Paint Hazard</w:t>
            </w:r>
          </w:p>
        </w:tc>
        <w:tc>
          <w:tcPr>
            <w:tcW w:w="2104" w:type="dxa"/>
            <w:gridSpan w:val="2"/>
          </w:tcPr>
          <w:p>
            <w:pPr>
              <w:pStyle w:val="TableParagraph"/>
              <w:spacing w:line="244" w:lineRule="exact"/>
              <w:ind w:left="280"/>
              <w:rPr>
                <w:b/>
                <w:sz w:val="22"/>
              </w:rPr>
            </w:pPr>
            <w:r>
              <w:rPr>
                <w:b/>
                <w:sz w:val="22"/>
              </w:rPr>
              <w:t>Owner-Occupied</w:t>
            </w:r>
          </w:p>
        </w:tc>
        <w:tc>
          <w:tcPr>
            <w:tcW w:w="2104" w:type="dxa"/>
            <w:gridSpan w:val="2"/>
          </w:tcPr>
          <w:p>
            <w:pPr>
              <w:pStyle w:val="TableParagraph"/>
              <w:spacing w:line="244" w:lineRule="exact"/>
              <w:ind w:left="280"/>
              <w:rPr>
                <w:b/>
                <w:sz w:val="22"/>
              </w:rPr>
            </w:pPr>
            <w:r>
              <w:rPr>
                <w:b/>
                <w:sz w:val="22"/>
              </w:rPr>
              <w:t>Renter-Occupied</w:t>
            </w:r>
          </w:p>
        </w:tc>
      </w:tr>
      <w:tr>
        <w:trPr>
          <w:trHeight w:val="263" w:hRule="atLeast"/>
        </w:trPr>
        <w:tc>
          <w:tcPr>
            <w:tcW w:w="5142" w:type="dxa"/>
            <w:vMerge/>
            <w:tcBorders>
              <w:top w:val="nil"/>
            </w:tcBorders>
          </w:tcPr>
          <w:p>
            <w:pPr>
              <w:rPr>
                <w:sz w:val="2"/>
                <w:szCs w:val="2"/>
              </w:rPr>
            </w:pPr>
          </w:p>
        </w:tc>
        <w:tc>
          <w:tcPr>
            <w:tcW w:w="1052" w:type="dxa"/>
          </w:tcPr>
          <w:p>
            <w:pPr>
              <w:pStyle w:val="TableParagraph"/>
              <w:spacing w:line="244" w:lineRule="exact"/>
              <w:ind w:right="137"/>
              <w:jc w:val="right"/>
              <w:rPr>
                <w:b/>
                <w:sz w:val="22"/>
              </w:rPr>
            </w:pPr>
            <w:r>
              <w:rPr>
                <w:b/>
                <w:sz w:val="22"/>
              </w:rPr>
              <w:t>Number</w:t>
            </w:r>
          </w:p>
        </w:tc>
        <w:tc>
          <w:tcPr>
            <w:tcW w:w="1052" w:type="dxa"/>
          </w:tcPr>
          <w:p>
            <w:pPr>
              <w:pStyle w:val="TableParagraph"/>
              <w:spacing w:line="244" w:lineRule="exact"/>
              <w:ind w:left="10"/>
              <w:jc w:val="center"/>
              <w:rPr>
                <w:b/>
                <w:sz w:val="22"/>
              </w:rPr>
            </w:pPr>
            <w:r>
              <w:rPr>
                <w:b/>
                <w:sz w:val="22"/>
              </w:rPr>
              <w:t>%</w:t>
            </w:r>
          </w:p>
        </w:tc>
        <w:tc>
          <w:tcPr>
            <w:tcW w:w="1052" w:type="dxa"/>
          </w:tcPr>
          <w:p>
            <w:pPr>
              <w:pStyle w:val="TableParagraph"/>
              <w:spacing w:line="244" w:lineRule="exact"/>
              <w:ind w:right="137"/>
              <w:jc w:val="right"/>
              <w:rPr>
                <w:b/>
                <w:sz w:val="22"/>
              </w:rPr>
            </w:pPr>
            <w:r>
              <w:rPr>
                <w:b/>
                <w:sz w:val="22"/>
              </w:rPr>
              <w:t>Number</w:t>
            </w:r>
          </w:p>
        </w:tc>
        <w:tc>
          <w:tcPr>
            <w:tcW w:w="1052" w:type="dxa"/>
          </w:tcPr>
          <w:p>
            <w:pPr>
              <w:pStyle w:val="TableParagraph"/>
              <w:spacing w:line="244" w:lineRule="exact"/>
              <w:ind w:left="10"/>
              <w:jc w:val="center"/>
              <w:rPr>
                <w:b/>
                <w:sz w:val="22"/>
              </w:rPr>
            </w:pPr>
            <w:r>
              <w:rPr>
                <w:b/>
                <w:sz w:val="22"/>
              </w:rPr>
              <w:t>%</w:t>
            </w:r>
          </w:p>
        </w:tc>
      </w:tr>
      <w:tr>
        <w:trPr>
          <w:trHeight w:val="506" w:hRule="atLeast"/>
        </w:trPr>
        <w:tc>
          <w:tcPr>
            <w:tcW w:w="5142" w:type="dxa"/>
            <w:tcBorders>
              <w:bottom w:val="nil"/>
            </w:tcBorders>
          </w:tcPr>
          <w:p>
            <w:pPr>
              <w:pStyle w:val="TableParagraph"/>
              <w:spacing w:line="266" w:lineRule="exact"/>
              <w:ind w:left="112"/>
              <w:rPr>
                <w:sz w:val="22"/>
              </w:rPr>
            </w:pPr>
            <w:r>
              <w:rPr>
                <w:sz w:val="22"/>
              </w:rPr>
              <w:t>Total Number of Units Built Before 1980</w:t>
            </w:r>
          </w:p>
        </w:tc>
        <w:tc>
          <w:tcPr>
            <w:tcW w:w="1052" w:type="dxa"/>
            <w:tcBorders>
              <w:bottom w:val="nil"/>
            </w:tcBorders>
          </w:tcPr>
          <w:p>
            <w:pPr>
              <w:pStyle w:val="TableParagraph"/>
              <w:spacing w:line="266" w:lineRule="exact"/>
              <w:ind w:right="100"/>
              <w:jc w:val="right"/>
              <w:rPr>
                <w:sz w:val="22"/>
              </w:rPr>
            </w:pPr>
            <w:r>
              <w:rPr>
                <w:sz w:val="22"/>
              </w:rPr>
              <w:t>5,500</w:t>
            </w:r>
          </w:p>
        </w:tc>
        <w:tc>
          <w:tcPr>
            <w:tcW w:w="1052" w:type="dxa"/>
            <w:tcBorders>
              <w:bottom w:val="nil"/>
            </w:tcBorders>
          </w:tcPr>
          <w:p>
            <w:pPr>
              <w:pStyle w:val="TableParagraph"/>
              <w:spacing w:line="266" w:lineRule="exact"/>
              <w:ind w:left="554"/>
              <w:rPr>
                <w:sz w:val="22"/>
              </w:rPr>
            </w:pPr>
            <w:r>
              <w:rPr>
                <w:sz w:val="22"/>
              </w:rPr>
              <w:t>49%</w:t>
            </w:r>
          </w:p>
        </w:tc>
        <w:tc>
          <w:tcPr>
            <w:tcW w:w="1052" w:type="dxa"/>
            <w:tcBorders>
              <w:bottom w:val="nil"/>
            </w:tcBorders>
          </w:tcPr>
          <w:p>
            <w:pPr>
              <w:pStyle w:val="TableParagraph"/>
              <w:spacing w:line="266" w:lineRule="exact"/>
              <w:ind w:right="100"/>
              <w:jc w:val="right"/>
              <w:rPr>
                <w:sz w:val="22"/>
              </w:rPr>
            </w:pPr>
            <w:r>
              <w:rPr>
                <w:sz w:val="22"/>
              </w:rPr>
              <w:t>8,750</w:t>
            </w:r>
          </w:p>
        </w:tc>
        <w:tc>
          <w:tcPr>
            <w:tcW w:w="1052" w:type="dxa"/>
            <w:tcBorders>
              <w:bottom w:val="nil"/>
            </w:tcBorders>
          </w:tcPr>
          <w:p>
            <w:pPr>
              <w:pStyle w:val="TableParagraph"/>
              <w:spacing w:line="266" w:lineRule="exact"/>
              <w:ind w:left="554"/>
              <w:rPr>
                <w:sz w:val="22"/>
              </w:rPr>
            </w:pPr>
            <w:r>
              <w:rPr>
                <w:sz w:val="22"/>
              </w:rPr>
              <w:t>42%</w:t>
            </w:r>
          </w:p>
        </w:tc>
      </w:tr>
    </w:tbl>
    <w:p>
      <w:pPr>
        <w:pStyle w:val="BodyText"/>
        <w:spacing w:before="1"/>
        <w:rPr>
          <w:b/>
          <w:sz w:val="24"/>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2"/>
        <w:gridCol w:w="1052"/>
        <w:gridCol w:w="1052"/>
        <w:gridCol w:w="1052"/>
        <w:gridCol w:w="1052"/>
      </w:tblGrid>
      <w:tr>
        <w:trPr>
          <w:trHeight w:val="306" w:hRule="atLeast"/>
        </w:trPr>
        <w:tc>
          <w:tcPr>
            <w:tcW w:w="5142" w:type="dxa"/>
            <w:tcBorders>
              <w:top w:val="nil"/>
            </w:tcBorders>
          </w:tcPr>
          <w:p>
            <w:pPr>
              <w:pStyle w:val="TableParagraph"/>
              <w:rPr>
                <w:rFonts w:ascii="Times New Roman"/>
                <w:sz w:val="20"/>
              </w:rPr>
            </w:pPr>
          </w:p>
        </w:tc>
        <w:tc>
          <w:tcPr>
            <w:tcW w:w="1052" w:type="dxa"/>
            <w:tcBorders>
              <w:top w:val="nil"/>
            </w:tcBorders>
          </w:tcPr>
          <w:p>
            <w:pPr>
              <w:pStyle w:val="TableParagraph"/>
              <w:rPr>
                <w:rFonts w:ascii="Times New Roman"/>
                <w:sz w:val="20"/>
              </w:rPr>
            </w:pPr>
          </w:p>
        </w:tc>
        <w:tc>
          <w:tcPr>
            <w:tcW w:w="1052" w:type="dxa"/>
            <w:tcBorders>
              <w:top w:val="nil"/>
            </w:tcBorders>
          </w:tcPr>
          <w:p>
            <w:pPr>
              <w:pStyle w:val="TableParagraph"/>
              <w:rPr>
                <w:rFonts w:ascii="Times New Roman"/>
                <w:sz w:val="20"/>
              </w:rPr>
            </w:pPr>
          </w:p>
        </w:tc>
        <w:tc>
          <w:tcPr>
            <w:tcW w:w="1052" w:type="dxa"/>
            <w:tcBorders>
              <w:top w:val="nil"/>
            </w:tcBorders>
          </w:tcPr>
          <w:p>
            <w:pPr>
              <w:pStyle w:val="TableParagraph"/>
              <w:rPr>
                <w:rFonts w:ascii="Times New Roman"/>
                <w:sz w:val="20"/>
              </w:rPr>
            </w:pPr>
          </w:p>
        </w:tc>
        <w:tc>
          <w:tcPr>
            <w:tcW w:w="1052" w:type="dxa"/>
            <w:tcBorders>
              <w:top w:val="nil"/>
            </w:tcBorders>
          </w:tcPr>
          <w:p>
            <w:pPr>
              <w:pStyle w:val="TableParagraph"/>
              <w:rPr>
                <w:rFonts w:ascii="Times New Roman"/>
                <w:sz w:val="20"/>
              </w:rPr>
            </w:pPr>
          </w:p>
        </w:tc>
      </w:tr>
      <w:tr>
        <w:trPr>
          <w:trHeight w:val="503" w:hRule="atLeast"/>
        </w:trPr>
        <w:tc>
          <w:tcPr>
            <w:tcW w:w="5142" w:type="dxa"/>
          </w:tcPr>
          <w:p>
            <w:pPr>
              <w:pStyle w:val="TableParagraph"/>
              <w:spacing w:before="1"/>
              <w:ind w:left="112"/>
              <w:rPr>
                <w:sz w:val="22"/>
              </w:rPr>
            </w:pPr>
            <w:r>
              <w:rPr>
                <w:sz w:val="22"/>
              </w:rPr>
              <w:t>Housing Units build before 1980 with children present</w:t>
            </w:r>
          </w:p>
        </w:tc>
        <w:tc>
          <w:tcPr>
            <w:tcW w:w="1052" w:type="dxa"/>
          </w:tcPr>
          <w:p>
            <w:pPr>
              <w:pStyle w:val="TableParagraph"/>
              <w:spacing w:before="1"/>
              <w:ind w:left="433"/>
              <w:rPr>
                <w:sz w:val="22"/>
              </w:rPr>
            </w:pPr>
            <w:r>
              <w:rPr>
                <w:sz w:val="22"/>
              </w:rPr>
              <w:t>1,299</w:t>
            </w:r>
          </w:p>
        </w:tc>
        <w:tc>
          <w:tcPr>
            <w:tcW w:w="1052" w:type="dxa"/>
          </w:tcPr>
          <w:p>
            <w:pPr>
              <w:pStyle w:val="TableParagraph"/>
              <w:spacing w:before="1"/>
              <w:ind w:left="554"/>
              <w:rPr>
                <w:sz w:val="22"/>
              </w:rPr>
            </w:pPr>
            <w:r>
              <w:rPr>
                <w:sz w:val="22"/>
              </w:rPr>
              <w:t>12%</w:t>
            </w:r>
          </w:p>
        </w:tc>
        <w:tc>
          <w:tcPr>
            <w:tcW w:w="1052" w:type="dxa"/>
          </w:tcPr>
          <w:p>
            <w:pPr>
              <w:pStyle w:val="TableParagraph"/>
              <w:spacing w:before="1"/>
              <w:ind w:left="599"/>
              <w:rPr>
                <w:sz w:val="22"/>
              </w:rPr>
            </w:pPr>
            <w:r>
              <w:rPr>
                <w:sz w:val="22"/>
              </w:rPr>
              <w:t>785</w:t>
            </w:r>
          </w:p>
        </w:tc>
        <w:tc>
          <w:tcPr>
            <w:tcW w:w="1052" w:type="dxa"/>
          </w:tcPr>
          <w:p>
            <w:pPr>
              <w:pStyle w:val="TableParagraph"/>
              <w:spacing w:before="1"/>
              <w:ind w:left="665"/>
              <w:rPr>
                <w:sz w:val="22"/>
              </w:rPr>
            </w:pPr>
            <w:r>
              <w:rPr>
                <w:sz w:val="22"/>
              </w:rPr>
              <w:t>4%</w:t>
            </w:r>
          </w:p>
        </w:tc>
      </w:tr>
    </w:tbl>
    <w:p>
      <w:pPr>
        <w:spacing w:after="0"/>
        <w:rPr>
          <w:sz w:val="22"/>
        </w:rPr>
        <w:sectPr>
          <w:type w:val="continuous"/>
          <w:pgSz w:w="15840" w:h="12240" w:orient="landscape"/>
          <w:pgMar w:top="1340" w:bottom="1520" w:left="1320" w:right="1320"/>
        </w:sectPr>
      </w:pPr>
    </w:p>
    <w:p>
      <w:pPr>
        <w:pStyle w:val="BodyText"/>
        <w:spacing w:before="1"/>
        <w:rPr>
          <w:b/>
          <w:sz w:val="19"/>
        </w:rPr>
      </w:pPr>
    </w:p>
    <w:p>
      <w:pPr>
        <w:spacing w:before="0"/>
        <w:ind w:left="235" w:right="20" w:firstLine="0"/>
        <w:jc w:val="left"/>
        <w:rPr>
          <w:b/>
          <w:sz w:val="16"/>
        </w:rPr>
      </w:pPr>
      <w:r>
        <w:rPr>
          <w:b/>
          <w:sz w:val="16"/>
        </w:rPr>
        <w:t>Data Source:</w:t>
      </w:r>
    </w:p>
    <w:p>
      <w:pPr>
        <w:spacing w:before="0"/>
        <w:ind w:left="3825" w:right="0" w:firstLine="0"/>
        <w:jc w:val="left"/>
        <w:rPr>
          <w:rFonts w:ascii="Arial" w:hAnsi="Arial"/>
          <w:b/>
          <w:sz w:val="20"/>
        </w:rPr>
      </w:pPr>
      <w:r>
        <w:rPr/>
        <w:br w:type="column"/>
      </w:r>
      <w:r>
        <w:rPr>
          <w:rFonts w:ascii="Arial" w:hAnsi="Arial"/>
          <w:b/>
          <w:sz w:val="20"/>
        </w:rPr>
        <w:t>Table 39 – Risk of Lead-Based Paint</w:t>
      </w:r>
    </w:p>
    <w:p>
      <w:pPr>
        <w:spacing w:before="3"/>
        <w:ind w:left="235" w:right="0" w:firstLine="0"/>
        <w:jc w:val="left"/>
        <w:rPr>
          <w:sz w:val="16"/>
        </w:rPr>
      </w:pPr>
      <w:r>
        <w:rPr>
          <w:sz w:val="16"/>
        </w:rPr>
        <w:t>2016-2020 ACS (Total Units) 2016-2020 CHAS (Units with Children present)</w:t>
      </w:r>
    </w:p>
    <w:p>
      <w:pPr>
        <w:spacing w:after="0"/>
        <w:jc w:val="left"/>
        <w:rPr>
          <w:sz w:val="16"/>
        </w:rPr>
        <w:sectPr>
          <w:type w:val="continuous"/>
          <w:pgSz w:w="15840" w:h="12240" w:orient="landscape"/>
          <w:pgMar w:top="1340" w:bottom="1520" w:left="1320" w:right="1320"/>
          <w:cols w:num="2" w:equalWidth="0">
            <w:col w:w="772" w:space="291"/>
            <w:col w:w="12137"/>
          </w:cols>
        </w:sectPr>
      </w:pPr>
    </w:p>
    <w:p>
      <w:pPr>
        <w:pStyle w:val="BodyText"/>
        <w:rPr>
          <w:sz w:val="20"/>
        </w:rPr>
      </w:pPr>
    </w:p>
    <w:p>
      <w:pPr>
        <w:pStyle w:val="BodyText"/>
        <w:rPr>
          <w:sz w:val="20"/>
        </w:rPr>
      </w:pPr>
    </w:p>
    <w:p>
      <w:pPr>
        <w:pStyle w:val="BodyText"/>
        <w:spacing w:before="8"/>
        <w:rPr>
          <w:sz w:val="24"/>
        </w:rPr>
      </w:pPr>
    </w:p>
    <w:p>
      <w:pPr>
        <w:pStyle w:val="Heading4"/>
        <w:spacing w:before="52"/>
        <w:ind w:left="120"/>
      </w:pPr>
      <w:r>
        <w:rPr/>
        <w:t>Vacant Units</w:t>
      </w:r>
    </w:p>
    <w:p>
      <w:pPr>
        <w:pStyle w:val="BodyText"/>
        <w:spacing w:before="7" w:after="1"/>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3"/>
        <w:gridCol w:w="2003"/>
        <w:gridCol w:w="2003"/>
        <w:gridCol w:w="1981"/>
      </w:tblGrid>
      <w:tr>
        <w:trPr>
          <w:trHeight w:val="532" w:hRule="atLeast"/>
        </w:trPr>
        <w:tc>
          <w:tcPr>
            <w:tcW w:w="3363" w:type="dxa"/>
          </w:tcPr>
          <w:p>
            <w:pPr>
              <w:pStyle w:val="TableParagraph"/>
              <w:rPr>
                <w:rFonts w:ascii="Times New Roman"/>
                <w:sz w:val="20"/>
              </w:rPr>
            </w:pPr>
          </w:p>
        </w:tc>
        <w:tc>
          <w:tcPr>
            <w:tcW w:w="2003" w:type="dxa"/>
          </w:tcPr>
          <w:p>
            <w:pPr>
              <w:pStyle w:val="TableParagraph"/>
              <w:spacing w:line="270" w:lineRule="atLeast"/>
              <w:ind w:left="352" w:right="323" w:firstLine="116"/>
              <w:rPr>
                <w:b/>
                <w:sz w:val="22"/>
              </w:rPr>
            </w:pPr>
            <w:r>
              <w:rPr>
                <w:b/>
                <w:sz w:val="22"/>
              </w:rPr>
              <w:t>Suitable for Rehabilitation</w:t>
            </w:r>
          </w:p>
        </w:tc>
        <w:tc>
          <w:tcPr>
            <w:tcW w:w="2003" w:type="dxa"/>
          </w:tcPr>
          <w:p>
            <w:pPr>
              <w:pStyle w:val="TableParagraph"/>
              <w:spacing w:line="270" w:lineRule="atLeast"/>
              <w:ind w:left="352" w:right="245" w:hanging="78"/>
              <w:rPr>
                <w:b/>
                <w:sz w:val="22"/>
              </w:rPr>
            </w:pPr>
            <w:r>
              <w:rPr>
                <w:b/>
                <w:sz w:val="22"/>
              </w:rPr>
              <w:t>Not Suitable for Rehabilitation</w:t>
            </w:r>
          </w:p>
        </w:tc>
        <w:tc>
          <w:tcPr>
            <w:tcW w:w="1981" w:type="dxa"/>
          </w:tcPr>
          <w:p>
            <w:pPr>
              <w:pStyle w:val="TableParagraph"/>
              <w:spacing w:before="1"/>
              <w:ind w:left="734" w:right="725"/>
              <w:jc w:val="center"/>
              <w:rPr>
                <w:b/>
                <w:sz w:val="22"/>
              </w:rPr>
            </w:pPr>
            <w:r>
              <w:rPr>
                <w:b/>
                <w:sz w:val="22"/>
              </w:rPr>
              <w:t>Total</w:t>
            </w:r>
          </w:p>
        </w:tc>
      </w:tr>
      <w:tr>
        <w:trPr>
          <w:trHeight w:val="255" w:hRule="atLeast"/>
        </w:trPr>
        <w:tc>
          <w:tcPr>
            <w:tcW w:w="3363" w:type="dxa"/>
          </w:tcPr>
          <w:p>
            <w:pPr>
              <w:pStyle w:val="TableParagraph"/>
              <w:spacing w:line="236" w:lineRule="exact"/>
              <w:ind w:left="112"/>
              <w:rPr>
                <w:sz w:val="22"/>
              </w:rPr>
            </w:pPr>
            <w:r>
              <w:rPr>
                <w:sz w:val="22"/>
              </w:rPr>
              <w:t>Vacant Units</w:t>
            </w:r>
          </w:p>
        </w:tc>
        <w:tc>
          <w:tcPr>
            <w:tcW w:w="2003" w:type="dxa"/>
          </w:tcPr>
          <w:p>
            <w:pPr>
              <w:pStyle w:val="TableParagraph"/>
              <w:rPr>
                <w:rFonts w:ascii="Times New Roman"/>
                <w:sz w:val="18"/>
              </w:rPr>
            </w:pPr>
          </w:p>
        </w:tc>
        <w:tc>
          <w:tcPr>
            <w:tcW w:w="2003" w:type="dxa"/>
          </w:tcPr>
          <w:p>
            <w:pPr>
              <w:pStyle w:val="TableParagraph"/>
              <w:rPr>
                <w:rFonts w:ascii="Times New Roman"/>
                <w:sz w:val="18"/>
              </w:rPr>
            </w:pPr>
          </w:p>
        </w:tc>
        <w:tc>
          <w:tcPr>
            <w:tcW w:w="1981" w:type="dxa"/>
          </w:tcPr>
          <w:p>
            <w:pPr>
              <w:pStyle w:val="TableParagraph"/>
              <w:rPr>
                <w:rFonts w:ascii="Times New Roman"/>
                <w:sz w:val="18"/>
              </w:rPr>
            </w:pPr>
          </w:p>
        </w:tc>
      </w:tr>
      <w:tr>
        <w:trPr>
          <w:trHeight w:val="263" w:hRule="atLeast"/>
        </w:trPr>
        <w:tc>
          <w:tcPr>
            <w:tcW w:w="3363" w:type="dxa"/>
          </w:tcPr>
          <w:p>
            <w:pPr>
              <w:pStyle w:val="TableParagraph"/>
              <w:spacing w:line="242" w:lineRule="exact" w:before="1"/>
              <w:ind w:left="112"/>
              <w:rPr>
                <w:sz w:val="22"/>
              </w:rPr>
            </w:pPr>
            <w:r>
              <w:rPr>
                <w:sz w:val="22"/>
              </w:rPr>
              <w:t>Abandoned Vacant Units</w:t>
            </w:r>
          </w:p>
        </w:tc>
        <w:tc>
          <w:tcPr>
            <w:tcW w:w="2003" w:type="dxa"/>
          </w:tcPr>
          <w:p>
            <w:pPr>
              <w:pStyle w:val="TableParagraph"/>
              <w:rPr>
                <w:rFonts w:ascii="Times New Roman"/>
                <w:sz w:val="18"/>
              </w:rPr>
            </w:pPr>
          </w:p>
        </w:tc>
        <w:tc>
          <w:tcPr>
            <w:tcW w:w="2003" w:type="dxa"/>
          </w:tcPr>
          <w:p>
            <w:pPr>
              <w:pStyle w:val="TableParagraph"/>
              <w:rPr>
                <w:rFonts w:ascii="Times New Roman"/>
                <w:sz w:val="18"/>
              </w:rPr>
            </w:pPr>
          </w:p>
        </w:tc>
        <w:tc>
          <w:tcPr>
            <w:tcW w:w="1981" w:type="dxa"/>
          </w:tcPr>
          <w:p>
            <w:pPr>
              <w:pStyle w:val="TableParagraph"/>
              <w:rPr>
                <w:rFonts w:ascii="Times New Roman"/>
                <w:sz w:val="18"/>
              </w:rPr>
            </w:pPr>
          </w:p>
        </w:tc>
      </w:tr>
      <w:tr>
        <w:trPr>
          <w:trHeight w:val="263" w:hRule="atLeast"/>
        </w:trPr>
        <w:tc>
          <w:tcPr>
            <w:tcW w:w="3363" w:type="dxa"/>
          </w:tcPr>
          <w:p>
            <w:pPr>
              <w:pStyle w:val="TableParagraph"/>
              <w:spacing w:line="242" w:lineRule="exact" w:before="1"/>
              <w:ind w:left="112"/>
              <w:rPr>
                <w:sz w:val="22"/>
              </w:rPr>
            </w:pPr>
            <w:r>
              <w:rPr>
                <w:sz w:val="22"/>
              </w:rPr>
              <w:t>REO Properties</w:t>
            </w:r>
          </w:p>
        </w:tc>
        <w:tc>
          <w:tcPr>
            <w:tcW w:w="2003" w:type="dxa"/>
          </w:tcPr>
          <w:p>
            <w:pPr>
              <w:pStyle w:val="TableParagraph"/>
              <w:rPr>
                <w:rFonts w:ascii="Times New Roman"/>
                <w:sz w:val="18"/>
              </w:rPr>
            </w:pPr>
          </w:p>
        </w:tc>
        <w:tc>
          <w:tcPr>
            <w:tcW w:w="2003" w:type="dxa"/>
          </w:tcPr>
          <w:p>
            <w:pPr>
              <w:pStyle w:val="TableParagraph"/>
              <w:rPr>
                <w:rFonts w:ascii="Times New Roman"/>
                <w:sz w:val="18"/>
              </w:rPr>
            </w:pPr>
          </w:p>
        </w:tc>
        <w:tc>
          <w:tcPr>
            <w:tcW w:w="1981" w:type="dxa"/>
          </w:tcPr>
          <w:p>
            <w:pPr>
              <w:pStyle w:val="TableParagraph"/>
              <w:rPr>
                <w:rFonts w:ascii="Times New Roman"/>
                <w:sz w:val="18"/>
              </w:rPr>
            </w:pPr>
          </w:p>
        </w:tc>
      </w:tr>
      <w:tr>
        <w:trPr>
          <w:trHeight w:val="263" w:hRule="atLeast"/>
        </w:trPr>
        <w:tc>
          <w:tcPr>
            <w:tcW w:w="3363" w:type="dxa"/>
          </w:tcPr>
          <w:p>
            <w:pPr>
              <w:pStyle w:val="TableParagraph"/>
              <w:spacing w:line="242" w:lineRule="exact" w:before="1"/>
              <w:ind w:left="112"/>
              <w:rPr>
                <w:sz w:val="22"/>
              </w:rPr>
            </w:pPr>
            <w:r>
              <w:rPr>
                <w:sz w:val="22"/>
              </w:rPr>
              <w:t>Abandoned REO Properties</w:t>
            </w:r>
          </w:p>
        </w:tc>
        <w:tc>
          <w:tcPr>
            <w:tcW w:w="2003" w:type="dxa"/>
          </w:tcPr>
          <w:p>
            <w:pPr>
              <w:pStyle w:val="TableParagraph"/>
              <w:rPr>
                <w:rFonts w:ascii="Times New Roman"/>
                <w:sz w:val="18"/>
              </w:rPr>
            </w:pPr>
          </w:p>
        </w:tc>
        <w:tc>
          <w:tcPr>
            <w:tcW w:w="2003" w:type="dxa"/>
          </w:tcPr>
          <w:p>
            <w:pPr>
              <w:pStyle w:val="TableParagraph"/>
              <w:rPr>
                <w:rFonts w:ascii="Times New Roman"/>
                <w:sz w:val="18"/>
              </w:rPr>
            </w:pPr>
          </w:p>
        </w:tc>
        <w:tc>
          <w:tcPr>
            <w:tcW w:w="1981" w:type="dxa"/>
          </w:tcPr>
          <w:p>
            <w:pPr>
              <w:pStyle w:val="TableParagraph"/>
              <w:rPr>
                <w:rFonts w:ascii="Times New Roman"/>
                <w:sz w:val="18"/>
              </w:rPr>
            </w:pPr>
          </w:p>
        </w:tc>
      </w:tr>
    </w:tbl>
    <w:p>
      <w:pPr>
        <w:spacing w:before="0"/>
        <w:ind w:left="3357" w:right="3357" w:firstLine="0"/>
        <w:jc w:val="center"/>
        <w:rPr>
          <w:rFonts w:ascii="Arial"/>
          <w:b/>
          <w:sz w:val="20"/>
        </w:rPr>
      </w:pPr>
      <w:r>
        <w:rPr>
          <w:rFonts w:ascii="Arial"/>
          <w:b/>
          <w:sz w:val="20"/>
        </w:rPr>
        <w:t>Table 40 - Vacant Units</w:t>
      </w:r>
    </w:p>
    <w:p>
      <w:pPr>
        <w:pStyle w:val="BodyText"/>
        <w:rPr>
          <w:rFonts w:ascii="Arial"/>
          <w:b/>
        </w:rPr>
      </w:pPr>
    </w:p>
    <w:p>
      <w:pPr>
        <w:pStyle w:val="BodyText"/>
        <w:spacing w:before="1"/>
        <w:rPr>
          <w:rFonts w:ascii="Arial"/>
          <w:b/>
          <w:sz w:val="25"/>
        </w:rPr>
      </w:pPr>
    </w:p>
    <w:p>
      <w:pPr>
        <w:pStyle w:val="Heading4"/>
        <w:ind w:left="120"/>
      </w:pPr>
      <w:r>
        <w:rPr/>
        <w:t>Need for Owner and Rental Rehabilitation</w:t>
      </w:r>
    </w:p>
    <w:p>
      <w:pPr>
        <w:pStyle w:val="BodyText"/>
        <w:spacing w:before="11"/>
        <w:rPr>
          <w:b/>
          <w:sz w:val="19"/>
        </w:rPr>
      </w:pPr>
    </w:p>
    <w:p>
      <w:pPr>
        <w:pStyle w:val="Heading6"/>
        <w:ind w:left="120"/>
      </w:pPr>
      <w:r>
        <w:rPr/>
        <w:t>Owner-Occupied Rehabilitation Needs:</w:t>
      </w:r>
    </w:p>
    <w:p>
      <w:pPr>
        <w:pStyle w:val="BodyText"/>
        <w:spacing w:before="7"/>
        <w:rPr>
          <w:b/>
          <w:sz w:val="17"/>
        </w:rPr>
      </w:pPr>
    </w:p>
    <w:p>
      <w:pPr>
        <w:pStyle w:val="ListParagraph"/>
        <w:numPr>
          <w:ilvl w:val="1"/>
          <w:numId w:val="10"/>
        </w:numPr>
        <w:tabs>
          <w:tab w:pos="839" w:val="left" w:leader="none"/>
          <w:tab w:pos="840" w:val="left" w:leader="none"/>
        </w:tabs>
        <w:spacing w:line="254" w:lineRule="auto" w:before="0" w:after="0"/>
        <w:ind w:left="840" w:right="413" w:hanging="360"/>
        <w:jc w:val="left"/>
        <w:rPr>
          <w:sz w:val="22"/>
        </w:rPr>
      </w:pPr>
      <w:r>
        <w:rPr>
          <w:b/>
          <w:sz w:val="22"/>
        </w:rPr>
        <w:t>Age of Housing: </w:t>
      </w:r>
      <w:r>
        <w:rPr>
          <w:sz w:val="22"/>
        </w:rPr>
        <w:t>A significant portion of owner-occupied homes (</w:t>
      </w:r>
      <w:r>
        <w:rPr>
          <w:b/>
          <w:sz w:val="22"/>
        </w:rPr>
        <w:t>49%</w:t>
      </w:r>
      <w:r>
        <w:rPr>
          <w:sz w:val="22"/>
        </w:rPr>
        <w:t>) were built before 1980, and </w:t>
      </w:r>
      <w:r>
        <w:rPr>
          <w:b/>
          <w:sz w:val="22"/>
        </w:rPr>
        <w:t>15% </w:t>
      </w:r>
      <w:r>
        <w:rPr>
          <w:sz w:val="22"/>
        </w:rPr>
        <w:t>were built before 1950. </w:t>
      </w:r>
      <w:r>
        <w:rPr>
          <w:spacing w:val="-4"/>
          <w:sz w:val="22"/>
        </w:rPr>
        <w:t>These </w:t>
      </w:r>
      <w:r>
        <w:rPr>
          <w:sz w:val="22"/>
        </w:rPr>
        <w:t>older homes are more likely to need repairs and upgrades to maintain structural integrity, improve energy efficiency, and mitigate hazards like lead-based paint.</w:t>
      </w:r>
    </w:p>
    <w:p>
      <w:pPr>
        <w:pStyle w:val="ListParagraph"/>
        <w:numPr>
          <w:ilvl w:val="1"/>
          <w:numId w:val="10"/>
        </w:numPr>
        <w:tabs>
          <w:tab w:pos="839" w:val="left" w:leader="none"/>
          <w:tab w:pos="840" w:val="left" w:leader="none"/>
        </w:tabs>
        <w:spacing w:line="254" w:lineRule="auto" w:before="192" w:after="0"/>
        <w:ind w:left="840" w:right="473" w:hanging="360"/>
        <w:jc w:val="left"/>
        <w:rPr>
          <w:sz w:val="22"/>
        </w:rPr>
      </w:pPr>
      <w:r>
        <w:rPr>
          <w:b/>
          <w:sz w:val="22"/>
        </w:rPr>
        <w:t>Housing Conditions: </w:t>
      </w:r>
      <w:r>
        <w:rPr>
          <w:sz w:val="22"/>
        </w:rPr>
        <w:t>Around </w:t>
      </w:r>
      <w:r>
        <w:rPr>
          <w:b/>
          <w:sz w:val="22"/>
        </w:rPr>
        <w:t>14% of owner-occupied units </w:t>
      </w:r>
      <w:r>
        <w:rPr>
          <w:sz w:val="22"/>
        </w:rPr>
        <w:t>have at least one selected condition (e.g., overcrowding, lack of </w:t>
      </w:r>
      <w:r>
        <w:rPr>
          <w:spacing w:val="-2"/>
          <w:sz w:val="22"/>
        </w:rPr>
        <w:t>facilities), </w:t>
      </w:r>
      <w:r>
        <w:rPr>
          <w:sz w:val="22"/>
        </w:rPr>
        <w:t>indicating the need for maintenance or repair. Focusing on rehabilitation programs for these homes can help preserve affordable housing and prevent further deterioration and reduction in already limited inventory.</w:t>
      </w:r>
    </w:p>
    <w:p>
      <w:pPr>
        <w:pStyle w:val="BodyText"/>
        <w:spacing w:before="12"/>
        <w:rPr>
          <w:sz w:val="17"/>
        </w:rPr>
      </w:pPr>
    </w:p>
    <w:p>
      <w:pPr>
        <w:pStyle w:val="Heading6"/>
        <w:ind w:left="120"/>
      </w:pPr>
      <w:r>
        <w:rPr/>
        <w:t>Rental Rehabilitation Needs:</w:t>
      </w:r>
    </w:p>
    <w:p>
      <w:pPr>
        <w:pStyle w:val="BodyText"/>
        <w:spacing w:before="6"/>
        <w:rPr>
          <w:b/>
          <w:sz w:val="17"/>
        </w:rPr>
      </w:pPr>
    </w:p>
    <w:p>
      <w:pPr>
        <w:pStyle w:val="ListParagraph"/>
        <w:numPr>
          <w:ilvl w:val="1"/>
          <w:numId w:val="10"/>
        </w:numPr>
        <w:tabs>
          <w:tab w:pos="839" w:val="left" w:leader="none"/>
          <w:tab w:pos="840" w:val="left" w:leader="none"/>
        </w:tabs>
        <w:spacing w:line="254" w:lineRule="auto" w:before="0" w:after="0"/>
        <w:ind w:left="840" w:right="283" w:hanging="360"/>
        <w:jc w:val="left"/>
        <w:rPr>
          <w:sz w:val="22"/>
        </w:rPr>
      </w:pPr>
      <w:r>
        <w:rPr>
          <w:b/>
          <w:sz w:val="22"/>
        </w:rPr>
        <w:t>Higher Prevalence of Conditions: 54% of renter-occupied units </w:t>
      </w:r>
      <w:r>
        <w:rPr>
          <w:sz w:val="22"/>
        </w:rPr>
        <w:t>have at least one selected condition, suggesting a larger share of </w:t>
      </w:r>
      <w:r>
        <w:rPr>
          <w:spacing w:val="-3"/>
          <w:sz w:val="22"/>
        </w:rPr>
        <w:t>rental </w:t>
      </w:r>
      <w:r>
        <w:rPr>
          <w:sz w:val="22"/>
        </w:rPr>
        <w:t>housing needs improvement, whether through basic repairs or addressing issues like overcrowding or inadequate facilities. These conditions disproportionately affect renters, who often have fewer resources for home maintenance.</w:t>
      </w:r>
    </w:p>
    <w:p>
      <w:pPr>
        <w:pStyle w:val="BodyText"/>
        <w:spacing w:before="4"/>
        <w:rPr>
          <w:sz w:val="16"/>
        </w:rPr>
      </w:pPr>
    </w:p>
    <w:p>
      <w:pPr>
        <w:pStyle w:val="ListParagraph"/>
        <w:numPr>
          <w:ilvl w:val="1"/>
          <w:numId w:val="10"/>
        </w:numPr>
        <w:tabs>
          <w:tab w:pos="839" w:val="left" w:leader="none"/>
          <w:tab w:pos="840" w:val="left" w:leader="none"/>
        </w:tabs>
        <w:spacing w:line="232" w:lineRule="auto" w:before="0" w:after="0"/>
        <w:ind w:left="840" w:right="199" w:hanging="360"/>
        <w:jc w:val="left"/>
        <w:rPr>
          <w:sz w:val="22"/>
        </w:rPr>
      </w:pPr>
      <w:r>
        <w:rPr>
          <w:b/>
          <w:sz w:val="22"/>
        </w:rPr>
        <w:t>Age of Housing: </w:t>
      </w:r>
      <w:r>
        <w:rPr>
          <w:sz w:val="22"/>
        </w:rPr>
        <w:t>Like owner-occupied homes, a significant portion of rental units (</w:t>
      </w:r>
      <w:r>
        <w:rPr>
          <w:b/>
          <w:sz w:val="22"/>
        </w:rPr>
        <w:t>42%</w:t>
      </w:r>
      <w:r>
        <w:rPr>
          <w:sz w:val="22"/>
        </w:rPr>
        <w:t>) were built before 1980. Many of these units </w:t>
      </w:r>
      <w:r>
        <w:rPr>
          <w:spacing w:val="-6"/>
          <w:sz w:val="22"/>
        </w:rPr>
        <w:t>may </w:t>
      </w:r>
      <w:r>
        <w:rPr>
          <w:sz w:val="22"/>
        </w:rPr>
        <w:t>require upgrades to meet modern safety and energy standards and reduce health risks associated with old infrastructure.</w:t>
      </w:r>
    </w:p>
    <w:p>
      <w:pPr>
        <w:spacing w:after="0" w:line="232" w:lineRule="auto"/>
        <w:jc w:val="left"/>
        <w:rPr>
          <w:sz w:val="22"/>
        </w:rPr>
        <w:sectPr>
          <w:headerReference w:type="default" r:id="rId55"/>
          <w:footerReference w:type="default" r:id="rId56"/>
          <w:pgSz w:w="15840" w:h="12240" w:orient="landscape"/>
          <w:pgMar w:header="0" w:footer="1072" w:top="1140" w:bottom="1260" w:left="1320" w:right="1320"/>
          <w:pgNumType w:start="71"/>
        </w:sectPr>
      </w:pPr>
    </w:p>
    <w:p>
      <w:pPr>
        <w:pStyle w:val="BodyText"/>
        <w:spacing w:before="8"/>
        <w:rPr>
          <w:sz w:val="20"/>
        </w:rPr>
      </w:pPr>
    </w:p>
    <w:p>
      <w:pPr>
        <w:pStyle w:val="Heading4"/>
        <w:spacing w:before="52"/>
        <w:ind w:left="120"/>
      </w:pPr>
      <w:r>
        <w:rPr/>
        <w:t>Estimated Number of Housing Units Occupied by Low or Moderate Income Families with LBP Hazards</w:t>
      </w:r>
    </w:p>
    <w:p>
      <w:pPr>
        <w:pStyle w:val="BodyText"/>
        <w:spacing w:before="7" w:after="1"/>
        <w:rPr>
          <w:b/>
          <w:sz w:val="19"/>
        </w:rPr>
      </w:pPr>
    </w:p>
    <w:p>
      <w:pPr>
        <w:pStyle w:val="BodyText"/>
        <w:spacing w:line="20" w:lineRule="exact"/>
        <w:ind w:left="2895"/>
        <w:rPr>
          <w:sz w:val="2"/>
        </w:rPr>
      </w:pPr>
      <w:r>
        <w:rPr>
          <w:sz w:val="2"/>
        </w:rPr>
        <w:pict>
          <v:group style="width:370pt;height:.5pt;mso-position-horizontal-relative:char;mso-position-vertical-relative:line" coordorigin="0,0" coordsize="7400,10">
            <v:line style="position:absolute" from="0,5" to="7400,5" stroked="true" strokeweight=".5pt" strokecolor="#186a24">
              <v:stroke dashstyle="solid"/>
            </v:line>
          </v:group>
        </w:pict>
      </w:r>
      <w:r>
        <w:rPr>
          <w:sz w:val="2"/>
        </w:rPr>
      </w:r>
    </w:p>
    <w:p>
      <w:pPr>
        <w:spacing w:after="0" w:line="20" w:lineRule="exact"/>
        <w:rPr>
          <w:sz w:val="2"/>
        </w:rPr>
        <w:sectPr>
          <w:headerReference w:type="default" r:id="rId57"/>
          <w:footerReference w:type="default" r:id="rId58"/>
          <w:pgSz w:w="15840" w:h="12240" w:orient="landscape"/>
          <w:pgMar w:header="0" w:footer="1072" w:top="1140" w:bottom="1260" w:left="1320" w:right="1320"/>
          <w:pgNumType w:start="72"/>
        </w:sectPr>
      </w:pPr>
    </w:p>
    <w:p>
      <w:pPr>
        <w:pStyle w:val="BodyText"/>
        <w:spacing w:before="11"/>
        <w:rPr>
          <w:b/>
          <w:sz w:val="19"/>
        </w:rPr>
      </w:pPr>
    </w:p>
    <w:p>
      <w:pPr>
        <w:pStyle w:val="Heading6"/>
        <w:ind w:left="3283" w:right="-19" w:hanging="184"/>
        <w:rPr>
          <w:rFonts w:ascii="Arial"/>
        </w:rPr>
      </w:pPr>
      <w:r>
        <w:rPr>
          <w:rFonts w:ascii="Arial"/>
          <w:color w:val="124F1A"/>
        </w:rPr>
        <w:t>Housing Type</w:t>
      </w:r>
    </w:p>
    <w:p>
      <w:pPr>
        <w:spacing w:before="116"/>
        <w:ind w:left="406" w:right="0" w:firstLine="0"/>
        <w:jc w:val="center"/>
        <w:rPr>
          <w:rFonts w:ascii="Arial"/>
          <w:b/>
          <w:sz w:val="22"/>
        </w:rPr>
      </w:pPr>
      <w:r>
        <w:rPr/>
        <w:br w:type="column"/>
      </w:r>
      <w:r>
        <w:rPr>
          <w:rFonts w:ascii="Arial"/>
          <w:b/>
          <w:color w:val="124F1A"/>
          <w:sz w:val="22"/>
        </w:rPr>
        <w:t>Total Units Built Before 1980</w:t>
      </w:r>
    </w:p>
    <w:p>
      <w:pPr>
        <w:spacing w:before="116"/>
        <w:ind w:left="511" w:right="0" w:firstLine="0"/>
        <w:jc w:val="center"/>
        <w:rPr>
          <w:rFonts w:ascii="Arial"/>
          <w:b/>
          <w:sz w:val="22"/>
        </w:rPr>
      </w:pPr>
      <w:r>
        <w:rPr/>
        <w:br w:type="column"/>
      </w:r>
      <w:r>
        <w:rPr>
          <w:rFonts w:ascii="Arial"/>
          <w:b/>
          <w:color w:val="124F1A"/>
          <w:sz w:val="22"/>
        </w:rPr>
        <w:t>Units with Children Present</w:t>
      </w:r>
    </w:p>
    <w:p>
      <w:pPr>
        <w:spacing w:line="240" w:lineRule="auto" w:before="0"/>
        <w:ind w:left="463" w:right="3096" w:firstLine="0"/>
        <w:jc w:val="center"/>
        <w:rPr>
          <w:rFonts w:ascii="Arial"/>
          <w:b/>
          <w:sz w:val="22"/>
        </w:rPr>
      </w:pPr>
      <w:r>
        <w:rPr/>
        <w:br w:type="column"/>
      </w:r>
      <w:r>
        <w:rPr>
          <w:rFonts w:ascii="Arial"/>
          <w:b/>
          <w:color w:val="124F1A"/>
          <w:sz w:val="22"/>
        </w:rPr>
        <w:t>Estimated Low/Moderate-Income Households (50% of Units with Children)</w:t>
      </w:r>
    </w:p>
    <w:p>
      <w:pPr>
        <w:spacing w:after="0" w:line="240" w:lineRule="auto"/>
        <w:jc w:val="center"/>
        <w:rPr>
          <w:rFonts w:ascii="Arial"/>
          <w:sz w:val="22"/>
        </w:rPr>
        <w:sectPr>
          <w:type w:val="continuous"/>
          <w:pgSz w:w="15840" w:h="12240" w:orient="landscape"/>
          <w:pgMar w:top="1340" w:bottom="1520" w:left="1320" w:right="1320"/>
          <w:cols w:num="4" w:equalWidth="0">
            <w:col w:w="3980" w:space="40"/>
            <w:col w:w="1654" w:space="39"/>
            <w:col w:w="1563" w:space="40"/>
            <w:col w:w="588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pStyle w:val="BodyText"/>
        <w:ind w:left="3015"/>
        <w:rPr>
          <w:rFonts w:ascii="Arial"/>
        </w:rPr>
      </w:pPr>
      <w:r>
        <w:rPr/>
        <w:pict>
          <v:shape style="position:absolute;margin-left:211pt;margin-top:-241.893555pt;width:370pt;height:309.2pt;mso-position-horizontal-relative:page;mso-position-vertical-relative:paragraph;z-index:2516643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6"/>
                    <w:gridCol w:w="1284"/>
                    <w:gridCol w:w="2855"/>
                    <w:gridCol w:w="1526"/>
                  </w:tblGrid>
                  <w:tr>
                    <w:trPr>
                      <w:trHeight w:val="540" w:hRule="atLeast"/>
                    </w:trPr>
                    <w:tc>
                      <w:tcPr>
                        <w:tcW w:w="1736" w:type="dxa"/>
                        <w:tcBorders>
                          <w:top w:val="single" w:sz="6" w:space="0" w:color="186A24"/>
                        </w:tcBorders>
                        <w:shd w:val="clear" w:color="auto" w:fill="C1F0C7"/>
                      </w:tcPr>
                      <w:p>
                        <w:pPr>
                          <w:pStyle w:val="TableParagraph"/>
                          <w:spacing w:line="250" w:lineRule="atLeast" w:before="30"/>
                          <w:ind w:left="114" w:right="599"/>
                          <w:rPr>
                            <w:rFonts w:ascii="Arial"/>
                            <w:b/>
                            <w:sz w:val="22"/>
                          </w:rPr>
                        </w:pPr>
                        <w:r>
                          <w:rPr>
                            <w:rFonts w:ascii="Arial"/>
                            <w:b/>
                            <w:color w:val="124F1A"/>
                            <w:sz w:val="22"/>
                          </w:rPr>
                          <w:t>Owner- Occupied</w:t>
                        </w:r>
                      </w:p>
                    </w:tc>
                    <w:tc>
                      <w:tcPr>
                        <w:tcW w:w="1284" w:type="dxa"/>
                        <w:tcBorders>
                          <w:top w:val="single" w:sz="6" w:space="0" w:color="186A24"/>
                        </w:tcBorders>
                        <w:shd w:val="clear" w:color="auto" w:fill="C1F0C7"/>
                      </w:tcPr>
                      <w:p>
                        <w:pPr>
                          <w:pStyle w:val="TableParagraph"/>
                          <w:spacing w:before="2"/>
                          <w:rPr>
                            <w:sz w:val="23"/>
                          </w:rPr>
                        </w:pPr>
                      </w:p>
                      <w:p>
                        <w:pPr>
                          <w:pStyle w:val="TableParagraph"/>
                          <w:spacing w:line="237" w:lineRule="exact"/>
                          <w:ind w:right="113"/>
                          <w:jc w:val="right"/>
                          <w:rPr>
                            <w:rFonts w:ascii="Arial"/>
                            <w:sz w:val="22"/>
                          </w:rPr>
                        </w:pPr>
                        <w:r>
                          <w:rPr>
                            <w:rFonts w:ascii="Arial"/>
                            <w:color w:val="124F1A"/>
                            <w:sz w:val="22"/>
                          </w:rPr>
                          <w:t>5,500</w:t>
                        </w:r>
                      </w:p>
                    </w:tc>
                    <w:tc>
                      <w:tcPr>
                        <w:tcW w:w="2855" w:type="dxa"/>
                        <w:tcBorders>
                          <w:top w:val="single" w:sz="6" w:space="0" w:color="186A24"/>
                        </w:tcBorders>
                        <w:shd w:val="clear" w:color="auto" w:fill="C1F0C7"/>
                      </w:tcPr>
                      <w:p>
                        <w:pPr>
                          <w:pStyle w:val="TableParagraph"/>
                          <w:spacing w:before="2"/>
                          <w:rPr>
                            <w:sz w:val="23"/>
                          </w:rPr>
                        </w:pPr>
                      </w:p>
                      <w:p>
                        <w:pPr>
                          <w:pStyle w:val="TableParagraph"/>
                          <w:spacing w:line="237" w:lineRule="exact"/>
                          <w:ind w:left="975" w:right="1288"/>
                          <w:jc w:val="center"/>
                          <w:rPr>
                            <w:rFonts w:ascii="Arial"/>
                            <w:sz w:val="22"/>
                          </w:rPr>
                        </w:pPr>
                        <w:r>
                          <w:rPr>
                            <w:rFonts w:ascii="Arial"/>
                            <w:color w:val="124F1A"/>
                            <w:sz w:val="22"/>
                          </w:rPr>
                          <w:t>1,299</w:t>
                        </w:r>
                      </w:p>
                    </w:tc>
                    <w:tc>
                      <w:tcPr>
                        <w:tcW w:w="1526" w:type="dxa"/>
                        <w:tcBorders>
                          <w:top w:val="single" w:sz="6" w:space="0" w:color="186A24"/>
                        </w:tcBorders>
                        <w:shd w:val="clear" w:color="auto" w:fill="C1F0C7"/>
                      </w:tcPr>
                      <w:p>
                        <w:pPr>
                          <w:pStyle w:val="TableParagraph"/>
                          <w:spacing w:before="2"/>
                          <w:rPr>
                            <w:sz w:val="23"/>
                          </w:rPr>
                        </w:pPr>
                      </w:p>
                      <w:p>
                        <w:pPr>
                          <w:pStyle w:val="TableParagraph"/>
                          <w:spacing w:line="237" w:lineRule="exact"/>
                          <w:ind w:right="114"/>
                          <w:jc w:val="right"/>
                          <w:rPr>
                            <w:rFonts w:ascii="Arial"/>
                            <w:sz w:val="22"/>
                          </w:rPr>
                        </w:pPr>
                        <w:r>
                          <w:rPr>
                            <w:rFonts w:ascii="Arial"/>
                            <w:color w:val="124F1A"/>
                            <w:sz w:val="22"/>
                          </w:rPr>
                          <w:t>650</w:t>
                        </w:r>
                      </w:p>
                    </w:tc>
                  </w:tr>
                  <w:tr>
                    <w:trPr>
                      <w:trHeight w:val="282" w:hRule="atLeast"/>
                    </w:trPr>
                    <w:tc>
                      <w:tcPr>
                        <w:tcW w:w="1736" w:type="dxa"/>
                        <w:shd w:val="clear" w:color="auto" w:fill="C1F0C7"/>
                      </w:tcPr>
                      <w:p>
                        <w:pPr>
                          <w:pStyle w:val="TableParagraph"/>
                          <w:spacing w:line="249" w:lineRule="exact"/>
                          <w:ind w:left="114"/>
                          <w:rPr>
                            <w:rFonts w:ascii="Arial"/>
                            <w:b/>
                            <w:sz w:val="22"/>
                          </w:rPr>
                        </w:pPr>
                        <w:r>
                          <w:rPr>
                            <w:rFonts w:ascii="Arial"/>
                            <w:b/>
                            <w:color w:val="124F1A"/>
                            <w:sz w:val="22"/>
                          </w:rPr>
                          <w:t>Units</w:t>
                        </w:r>
                      </w:p>
                    </w:tc>
                    <w:tc>
                      <w:tcPr>
                        <w:tcW w:w="1284" w:type="dxa"/>
                        <w:shd w:val="clear" w:color="auto" w:fill="C1F0C7"/>
                      </w:tcPr>
                      <w:p>
                        <w:pPr>
                          <w:pStyle w:val="TableParagraph"/>
                          <w:rPr>
                            <w:rFonts w:ascii="Times New Roman"/>
                            <w:sz w:val="20"/>
                          </w:rPr>
                        </w:pPr>
                      </w:p>
                    </w:tc>
                    <w:tc>
                      <w:tcPr>
                        <w:tcW w:w="2855" w:type="dxa"/>
                        <w:shd w:val="clear" w:color="auto" w:fill="C1F0C7"/>
                      </w:tcPr>
                      <w:p>
                        <w:pPr>
                          <w:pStyle w:val="TableParagraph"/>
                          <w:rPr>
                            <w:rFonts w:ascii="Times New Roman"/>
                            <w:sz w:val="20"/>
                          </w:rPr>
                        </w:pPr>
                      </w:p>
                    </w:tc>
                    <w:tc>
                      <w:tcPr>
                        <w:tcW w:w="1526" w:type="dxa"/>
                        <w:shd w:val="clear" w:color="auto" w:fill="C1F0C7"/>
                      </w:tcPr>
                      <w:p>
                        <w:pPr>
                          <w:pStyle w:val="TableParagraph"/>
                          <w:rPr>
                            <w:rFonts w:ascii="Times New Roman"/>
                            <w:sz w:val="20"/>
                          </w:rPr>
                        </w:pPr>
                      </w:p>
                    </w:tc>
                  </w:tr>
                  <w:tr>
                    <w:trPr>
                      <w:trHeight w:val="545" w:hRule="atLeast"/>
                    </w:trPr>
                    <w:tc>
                      <w:tcPr>
                        <w:tcW w:w="1736" w:type="dxa"/>
                      </w:tcPr>
                      <w:p>
                        <w:pPr>
                          <w:pStyle w:val="TableParagraph"/>
                          <w:spacing w:line="250" w:lineRule="atLeast" w:before="35"/>
                          <w:ind w:left="114" w:right="904"/>
                          <w:rPr>
                            <w:rFonts w:ascii="Arial"/>
                            <w:sz w:val="22"/>
                          </w:rPr>
                        </w:pPr>
                        <w:r>
                          <w:rPr>
                            <w:rFonts w:ascii="Arial"/>
                            <w:color w:val="124F1A"/>
                            <w:sz w:val="22"/>
                          </w:rPr>
                          <w:t>- Units without</w:t>
                        </w:r>
                      </w:p>
                    </w:tc>
                    <w:tc>
                      <w:tcPr>
                        <w:tcW w:w="1284" w:type="dxa"/>
                      </w:tcPr>
                      <w:p>
                        <w:pPr>
                          <w:pStyle w:val="TableParagraph"/>
                          <w:spacing w:before="7"/>
                          <w:rPr>
                            <w:sz w:val="23"/>
                          </w:rPr>
                        </w:pPr>
                      </w:p>
                      <w:p>
                        <w:pPr>
                          <w:pStyle w:val="TableParagraph"/>
                          <w:spacing w:line="237" w:lineRule="exact"/>
                          <w:ind w:right="113"/>
                          <w:jc w:val="right"/>
                          <w:rPr>
                            <w:rFonts w:ascii="Arial"/>
                            <w:sz w:val="22"/>
                          </w:rPr>
                        </w:pPr>
                        <w:r>
                          <w:rPr>
                            <w:rFonts w:ascii="Arial"/>
                            <w:color w:val="124F1A"/>
                            <w:sz w:val="22"/>
                          </w:rPr>
                          <w:t>4,201</w:t>
                        </w:r>
                      </w:p>
                    </w:tc>
                    <w:tc>
                      <w:tcPr>
                        <w:tcW w:w="2855" w:type="dxa"/>
                      </w:tcPr>
                      <w:p>
                        <w:pPr>
                          <w:pStyle w:val="TableParagraph"/>
                          <w:spacing w:before="7"/>
                          <w:rPr>
                            <w:sz w:val="23"/>
                          </w:rPr>
                        </w:pPr>
                      </w:p>
                      <w:p>
                        <w:pPr>
                          <w:pStyle w:val="TableParagraph"/>
                          <w:tabs>
                            <w:tab w:pos="1774" w:val="left" w:leader="none"/>
                          </w:tabs>
                          <w:spacing w:line="237" w:lineRule="exact"/>
                          <w:ind w:left="114"/>
                          <w:rPr>
                            <w:rFonts w:ascii="Arial" w:hAnsi="Arial"/>
                            <w:sz w:val="22"/>
                          </w:rPr>
                        </w:pPr>
                        <w:r>
                          <w:rPr>
                            <w:rFonts w:ascii="Arial" w:hAnsi="Arial"/>
                            <w:color w:val="124F1A"/>
                            <w:sz w:val="22"/>
                          </w:rPr>
                          <w:t>—</w:t>
                          <w:tab/>
                          <w:t>—</w:t>
                        </w:r>
                      </w:p>
                    </w:tc>
                    <w:tc>
                      <w:tcPr>
                        <w:tcW w:w="1526" w:type="dxa"/>
                      </w:tcPr>
                      <w:p>
                        <w:pPr>
                          <w:pStyle w:val="TableParagraph"/>
                          <w:rPr>
                            <w:rFonts w:ascii="Times New Roman"/>
                            <w:sz w:val="20"/>
                          </w:rPr>
                        </w:pPr>
                      </w:p>
                    </w:tc>
                  </w:tr>
                  <w:tr>
                    <w:trPr>
                      <w:trHeight w:val="284" w:hRule="atLeast"/>
                    </w:trPr>
                    <w:tc>
                      <w:tcPr>
                        <w:tcW w:w="1736" w:type="dxa"/>
                      </w:tcPr>
                      <w:p>
                        <w:pPr>
                          <w:pStyle w:val="TableParagraph"/>
                          <w:spacing w:line="249" w:lineRule="exact"/>
                          <w:ind w:left="114"/>
                          <w:rPr>
                            <w:rFonts w:ascii="Arial"/>
                            <w:sz w:val="22"/>
                          </w:rPr>
                        </w:pPr>
                        <w:r>
                          <w:rPr>
                            <w:rFonts w:ascii="Arial"/>
                            <w:color w:val="124F1A"/>
                            <w:sz w:val="22"/>
                          </w:rPr>
                          <w:t>Children</w:t>
                        </w:r>
                      </w:p>
                    </w:tc>
                    <w:tc>
                      <w:tcPr>
                        <w:tcW w:w="1284" w:type="dxa"/>
                      </w:tcPr>
                      <w:p>
                        <w:pPr>
                          <w:pStyle w:val="TableParagraph"/>
                          <w:rPr>
                            <w:rFonts w:ascii="Times New Roman"/>
                            <w:sz w:val="20"/>
                          </w:rPr>
                        </w:pPr>
                      </w:p>
                    </w:tc>
                    <w:tc>
                      <w:tcPr>
                        <w:tcW w:w="2855" w:type="dxa"/>
                      </w:tcPr>
                      <w:p>
                        <w:pPr>
                          <w:pStyle w:val="TableParagraph"/>
                          <w:rPr>
                            <w:rFonts w:ascii="Times New Roman"/>
                            <w:sz w:val="20"/>
                          </w:rPr>
                        </w:pPr>
                      </w:p>
                    </w:tc>
                    <w:tc>
                      <w:tcPr>
                        <w:tcW w:w="1526" w:type="dxa"/>
                      </w:tcPr>
                      <w:p>
                        <w:pPr>
                          <w:pStyle w:val="TableParagraph"/>
                          <w:rPr>
                            <w:rFonts w:ascii="Times New Roman"/>
                            <w:sz w:val="20"/>
                          </w:rPr>
                        </w:pPr>
                      </w:p>
                    </w:tc>
                  </w:tr>
                  <w:tr>
                    <w:trPr>
                      <w:trHeight w:val="513" w:hRule="atLeast"/>
                    </w:trPr>
                    <w:tc>
                      <w:tcPr>
                        <w:tcW w:w="1736" w:type="dxa"/>
                        <w:shd w:val="clear" w:color="auto" w:fill="C1F0C7"/>
                      </w:tcPr>
                      <w:p>
                        <w:pPr>
                          <w:pStyle w:val="TableParagraph"/>
                          <w:spacing w:line="250" w:lineRule="atLeast"/>
                          <w:ind w:left="114" w:right="966"/>
                          <w:rPr>
                            <w:rFonts w:ascii="Arial"/>
                            <w:sz w:val="22"/>
                          </w:rPr>
                        </w:pPr>
                        <w:r>
                          <w:rPr>
                            <w:rFonts w:ascii="Arial"/>
                            <w:color w:val="124F1A"/>
                            <w:sz w:val="22"/>
                          </w:rPr>
                          <w:t>- Units with</w:t>
                        </w:r>
                      </w:p>
                    </w:tc>
                    <w:tc>
                      <w:tcPr>
                        <w:tcW w:w="1284" w:type="dxa"/>
                        <w:shd w:val="clear" w:color="auto" w:fill="C1F0C7"/>
                      </w:tcPr>
                      <w:p>
                        <w:pPr>
                          <w:pStyle w:val="TableParagraph"/>
                          <w:spacing w:before="1"/>
                          <w:rPr>
                            <w:sz w:val="31"/>
                          </w:rPr>
                        </w:pPr>
                      </w:p>
                      <w:p>
                        <w:pPr>
                          <w:pStyle w:val="TableParagraph"/>
                          <w:spacing w:line="114" w:lineRule="exact"/>
                          <w:ind w:right="113"/>
                          <w:jc w:val="right"/>
                          <w:rPr>
                            <w:rFonts w:ascii="Arial"/>
                            <w:sz w:val="22"/>
                          </w:rPr>
                        </w:pPr>
                        <w:r>
                          <w:rPr>
                            <w:rFonts w:ascii="Arial"/>
                            <w:color w:val="124F1A"/>
                            <w:sz w:val="22"/>
                          </w:rPr>
                          <w:t>1,299</w:t>
                        </w:r>
                      </w:p>
                    </w:tc>
                    <w:tc>
                      <w:tcPr>
                        <w:tcW w:w="2855" w:type="dxa"/>
                        <w:shd w:val="clear" w:color="auto" w:fill="C1F0C7"/>
                      </w:tcPr>
                      <w:p>
                        <w:pPr>
                          <w:pStyle w:val="TableParagraph"/>
                          <w:spacing w:before="1"/>
                          <w:rPr>
                            <w:sz w:val="31"/>
                          </w:rPr>
                        </w:pPr>
                      </w:p>
                      <w:p>
                        <w:pPr>
                          <w:pStyle w:val="TableParagraph"/>
                          <w:spacing w:line="114" w:lineRule="exact"/>
                          <w:ind w:left="975" w:right="1288"/>
                          <w:jc w:val="center"/>
                          <w:rPr>
                            <w:rFonts w:ascii="Arial"/>
                            <w:sz w:val="22"/>
                          </w:rPr>
                        </w:pPr>
                        <w:r>
                          <w:rPr>
                            <w:rFonts w:ascii="Arial"/>
                            <w:color w:val="124F1A"/>
                            <w:sz w:val="22"/>
                          </w:rPr>
                          <w:t>1,299</w:t>
                        </w:r>
                      </w:p>
                    </w:tc>
                    <w:tc>
                      <w:tcPr>
                        <w:tcW w:w="1526" w:type="dxa"/>
                        <w:shd w:val="clear" w:color="auto" w:fill="C1F0C7"/>
                      </w:tcPr>
                      <w:p>
                        <w:pPr>
                          <w:pStyle w:val="TableParagraph"/>
                          <w:spacing w:before="1"/>
                          <w:rPr>
                            <w:sz w:val="31"/>
                          </w:rPr>
                        </w:pPr>
                      </w:p>
                      <w:p>
                        <w:pPr>
                          <w:pStyle w:val="TableParagraph"/>
                          <w:spacing w:line="114" w:lineRule="exact"/>
                          <w:ind w:right="114"/>
                          <w:jc w:val="right"/>
                          <w:rPr>
                            <w:rFonts w:ascii="Arial"/>
                            <w:sz w:val="22"/>
                          </w:rPr>
                        </w:pPr>
                        <w:r>
                          <w:rPr>
                            <w:rFonts w:ascii="Arial"/>
                            <w:color w:val="124F1A"/>
                            <w:sz w:val="22"/>
                          </w:rPr>
                          <w:t>650</w:t>
                        </w:r>
                      </w:p>
                    </w:tc>
                  </w:tr>
                  <w:tr>
                    <w:trPr>
                      <w:trHeight w:val="498" w:hRule="atLeast"/>
                    </w:trPr>
                    <w:tc>
                      <w:tcPr>
                        <w:tcW w:w="1736" w:type="dxa"/>
                        <w:shd w:val="clear" w:color="auto" w:fill="C1F0C7"/>
                      </w:tcPr>
                      <w:p>
                        <w:pPr>
                          <w:pStyle w:val="TableParagraph"/>
                          <w:spacing w:line="246" w:lineRule="exact"/>
                          <w:ind w:left="114"/>
                          <w:rPr>
                            <w:rFonts w:ascii="Arial"/>
                            <w:sz w:val="22"/>
                          </w:rPr>
                        </w:pPr>
                        <w:r>
                          <w:rPr>
                            <w:rFonts w:ascii="Arial"/>
                            <w:color w:val="124F1A"/>
                            <w:sz w:val="22"/>
                          </w:rPr>
                          <w:t>Children</w:t>
                        </w:r>
                      </w:p>
                      <w:p>
                        <w:pPr>
                          <w:pStyle w:val="TableParagraph"/>
                          <w:spacing w:line="233" w:lineRule="exact"/>
                          <w:ind w:left="114"/>
                          <w:rPr>
                            <w:rFonts w:ascii="Arial"/>
                            <w:sz w:val="22"/>
                          </w:rPr>
                        </w:pPr>
                        <w:r>
                          <w:rPr>
                            <w:rFonts w:ascii="Arial"/>
                            <w:color w:val="124F1A"/>
                            <w:sz w:val="22"/>
                          </w:rPr>
                          <w:t>Present</w:t>
                        </w:r>
                      </w:p>
                    </w:tc>
                    <w:tc>
                      <w:tcPr>
                        <w:tcW w:w="1284" w:type="dxa"/>
                        <w:shd w:val="clear" w:color="auto" w:fill="C1F0C7"/>
                      </w:tcPr>
                      <w:p>
                        <w:pPr>
                          <w:pStyle w:val="TableParagraph"/>
                          <w:rPr>
                            <w:rFonts w:ascii="Times New Roman"/>
                            <w:sz w:val="20"/>
                          </w:rPr>
                        </w:pPr>
                      </w:p>
                    </w:tc>
                    <w:tc>
                      <w:tcPr>
                        <w:tcW w:w="2855" w:type="dxa"/>
                        <w:shd w:val="clear" w:color="auto" w:fill="C1F0C7"/>
                      </w:tcPr>
                      <w:p>
                        <w:pPr>
                          <w:pStyle w:val="TableParagraph"/>
                          <w:rPr>
                            <w:rFonts w:ascii="Times New Roman"/>
                            <w:sz w:val="20"/>
                          </w:rPr>
                        </w:pPr>
                      </w:p>
                    </w:tc>
                    <w:tc>
                      <w:tcPr>
                        <w:tcW w:w="1526" w:type="dxa"/>
                        <w:shd w:val="clear" w:color="auto" w:fill="C1F0C7"/>
                      </w:tcPr>
                      <w:p>
                        <w:pPr>
                          <w:pStyle w:val="TableParagraph"/>
                          <w:rPr>
                            <w:rFonts w:ascii="Times New Roman"/>
                            <w:sz w:val="20"/>
                          </w:rPr>
                        </w:pPr>
                      </w:p>
                    </w:tc>
                  </w:tr>
                  <w:tr>
                    <w:trPr>
                      <w:trHeight w:val="545" w:hRule="atLeast"/>
                    </w:trPr>
                    <w:tc>
                      <w:tcPr>
                        <w:tcW w:w="1736" w:type="dxa"/>
                      </w:tcPr>
                      <w:p>
                        <w:pPr>
                          <w:pStyle w:val="TableParagraph"/>
                          <w:spacing w:line="250" w:lineRule="atLeast" w:before="35"/>
                          <w:ind w:left="114" w:right="599"/>
                          <w:rPr>
                            <w:rFonts w:ascii="Arial"/>
                            <w:b/>
                            <w:sz w:val="22"/>
                          </w:rPr>
                        </w:pPr>
                        <w:r>
                          <w:rPr>
                            <w:rFonts w:ascii="Arial"/>
                            <w:b/>
                            <w:color w:val="124F1A"/>
                            <w:sz w:val="22"/>
                          </w:rPr>
                          <w:t>Renter- Occupied</w:t>
                        </w:r>
                      </w:p>
                    </w:tc>
                    <w:tc>
                      <w:tcPr>
                        <w:tcW w:w="1284" w:type="dxa"/>
                      </w:tcPr>
                      <w:p>
                        <w:pPr>
                          <w:pStyle w:val="TableParagraph"/>
                          <w:spacing w:before="7"/>
                          <w:rPr>
                            <w:sz w:val="23"/>
                          </w:rPr>
                        </w:pPr>
                      </w:p>
                      <w:p>
                        <w:pPr>
                          <w:pStyle w:val="TableParagraph"/>
                          <w:spacing w:line="237" w:lineRule="exact"/>
                          <w:ind w:right="113"/>
                          <w:jc w:val="right"/>
                          <w:rPr>
                            <w:rFonts w:ascii="Arial"/>
                            <w:sz w:val="22"/>
                          </w:rPr>
                        </w:pPr>
                        <w:r>
                          <w:rPr>
                            <w:rFonts w:ascii="Arial"/>
                            <w:color w:val="124F1A"/>
                            <w:sz w:val="22"/>
                          </w:rPr>
                          <w:t>8,750</w:t>
                        </w:r>
                      </w:p>
                    </w:tc>
                    <w:tc>
                      <w:tcPr>
                        <w:tcW w:w="2855" w:type="dxa"/>
                      </w:tcPr>
                      <w:p>
                        <w:pPr>
                          <w:pStyle w:val="TableParagraph"/>
                          <w:spacing w:before="7"/>
                          <w:rPr>
                            <w:sz w:val="23"/>
                          </w:rPr>
                        </w:pPr>
                      </w:p>
                      <w:p>
                        <w:pPr>
                          <w:pStyle w:val="TableParagraph"/>
                          <w:spacing w:line="237" w:lineRule="exact"/>
                          <w:ind w:left="975" w:right="1105"/>
                          <w:jc w:val="center"/>
                          <w:rPr>
                            <w:rFonts w:ascii="Arial"/>
                            <w:sz w:val="22"/>
                          </w:rPr>
                        </w:pPr>
                        <w:r>
                          <w:rPr>
                            <w:rFonts w:ascii="Arial"/>
                            <w:color w:val="124F1A"/>
                            <w:sz w:val="22"/>
                          </w:rPr>
                          <w:t>785</w:t>
                        </w:r>
                      </w:p>
                    </w:tc>
                    <w:tc>
                      <w:tcPr>
                        <w:tcW w:w="1526" w:type="dxa"/>
                      </w:tcPr>
                      <w:p>
                        <w:pPr>
                          <w:pStyle w:val="TableParagraph"/>
                          <w:spacing w:before="7"/>
                          <w:rPr>
                            <w:sz w:val="23"/>
                          </w:rPr>
                        </w:pPr>
                      </w:p>
                      <w:p>
                        <w:pPr>
                          <w:pStyle w:val="TableParagraph"/>
                          <w:spacing w:line="237" w:lineRule="exact"/>
                          <w:ind w:right="114"/>
                          <w:jc w:val="right"/>
                          <w:rPr>
                            <w:rFonts w:ascii="Arial"/>
                            <w:sz w:val="22"/>
                          </w:rPr>
                        </w:pPr>
                        <w:r>
                          <w:rPr>
                            <w:rFonts w:ascii="Arial"/>
                            <w:color w:val="124F1A"/>
                            <w:sz w:val="22"/>
                          </w:rPr>
                          <w:t>393</w:t>
                        </w:r>
                      </w:p>
                    </w:tc>
                  </w:tr>
                  <w:tr>
                    <w:trPr>
                      <w:trHeight w:val="284" w:hRule="atLeast"/>
                    </w:trPr>
                    <w:tc>
                      <w:tcPr>
                        <w:tcW w:w="1736" w:type="dxa"/>
                      </w:tcPr>
                      <w:p>
                        <w:pPr>
                          <w:pStyle w:val="TableParagraph"/>
                          <w:spacing w:line="249" w:lineRule="exact"/>
                          <w:ind w:left="114"/>
                          <w:rPr>
                            <w:rFonts w:ascii="Arial"/>
                            <w:b/>
                            <w:sz w:val="22"/>
                          </w:rPr>
                        </w:pPr>
                        <w:r>
                          <w:rPr>
                            <w:rFonts w:ascii="Arial"/>
                            <w:b/>
                            <w:color w:val="124F1A"/>
                            <w:sz w:val="22"/>
                          </w:rPr>
                          <w:t>Units</w:t>
                        </w:r>
                      </w:p>
                    </w:tc>
                    <w:tc>
                      <w:tcPr>
                        <w:tcW w:w="1284" w:type="dxa"/>
                      </w:tcPr>
                      <w:p>
                        <w:pPr>
                          <w:pStyle w:val="TableParagraph"/>
                          <w:rPr>
                            <w:rFonts w:ascii="Times New Roman"/>
                            <w:sz w:val="20"/>
                          </w:rPr>
                        </w:pPr>
                      </w:p>
                    </w:tc>
                    <w:tc>
                      <w:tcPr>
                        <w:tcW w:w="2855" w:type="dxa"/>
                      </w:tcPr>
                      <w:p>
                        <w:pPr>
                          <w:pStyle w:val="TableParagraph"/>
                          <w:rPr>
                            <w:rFonts w:ascii="Times New Roman"/>
                            <w:sz w:val="20"/>
                          </w:rPr>
                        </w:pPr>
                      </w:p>
                    </w:tc>
                    <w:tc>
                      <w:tcPr>
                        <w:tcW w:w="1526" w:type="dxa"/>
                      </w:tcPr>
                      <w:p>
                        <w:pPr>
                          <w:pStyle w:val="TableParagraph"/>
                          <w:rPr>
                            <w:rFonts w:ascii="Times New Roman"/>
                            <w:sz w:val="20"/>
                          </w:rPr>
                        </w:pPr>
                      </w:p>
                    </w:tc>
                  </w:tr>
                  <w:tr>
                    <w:trPr>
                      <w:trHeight w:val="545" w:hRule="atLeast"/>
                    </w:trPr>
                    <w:tc>
                      <w:tcPr>
                        <w:tcW w:w="1736" w:type="dxa"/>
                        <w:shd w:val="clear" w:color="auto" w:fill="C1F0C7"/>
                      </w:tcPr>
                      <w:p>
                        <w:pPr>
                          <w:pStyle w:val="TableParagraph"/>
                          <w:spacing w:line="250" w:lineRule="atLeast" w:before="35"/>
                          <w:ind w:left="114" w:right="904"/>
                          <w:rPr>
                            <w:rFonts w:ascii="Arial"/>
                            <w:sz w:val="22"/>
                          </w:rPr>
                        </w:pPr>
                        <w:r>
                          <w:rPr>
                            <w:rFonts w:ascii="Arial"/>
                            <w:color w:val="124F1A"/>
                            <w:sz w:val="22"/>
                          </w:rPr>
                          <w:t>- Units without</w:t>
                        </w:r>
                      </w:p>
                    </w:tc>
                    <w:tc>
                      <w:tcPr>
                        <w:tcW w:w="1284" w:type="dxa"/>
                        <w:shd w:val="clear" w:color="auto" w:fill="C1F0C7"/>
                      </w:tcPr>
                      <w:p>
                        <w:pPr>
                          <w:pStyle w:val="TableParagraph"/>
                          <w:spacing w:before="7"/>
                          <w:rPr>
                            <w:sz w:val="23"/>
                          </w:rPr>
                        </w:pPr>
                      </w:p>
                      <w:p>
                        <w:pPr>
                          <w:pStyle w:val="TableParagraph"/>
                          <w:spacing w:line="237" w:lineRule="exact"/>
                          <w:ind w:right="113"/>
                          <w:jc w:val="right"/>
                          <w:rPr>
                            <w:rFonts w:ascii="Arial"/>
                            <w:sz w:val="22"/>
                          </w:rPr>
                        </w:pPr>
                        <w:r>
                          <w:rPr>
                            <w:rFonts w:ascii="Arial"/>
                            <w:color w:val="124F1A"/>
                            <w:sz w:val="22"/>
                          </w:rPr>
                          <w:t>7,965</w:t>
                        </w:r>
                      </w:p>
                    </w:tc>
                    <w:tc>
                      <w:tcPr>
                        <w:tcW w:w="2855" w:type="dxa"/>
                        <w:shd w:val="clear" w:color="auto" w:fill="C1F0C7"/>
                      </w:tcPr>
                      <w:p>
                        <w:pPr>
                          <w:pStyle w:val="TableParagraph"/>
                          <w:spacing w:before="7"/>
                          <w:rPr>
                            <w:sz w:val="23"/>
                          </w:rPr>
                        </w:pPr>
                      </w:p>
                      <w:p>
                        <w:pPr>
                          <w:pStyle w:val="TableParagraph"/>
                          <w:tabs>
                            <w:tab w:pos="1774" w:val="left" w:leader="none"/>
                          </w:tabs>
                          <w:spacing w:line="237" w:lineRule="exact"/>
                          <w:ind w:left="114"/>
                          <w:rPr>
                            <w:rFonts w:ascii="Arial" w:hAnsi="Arial"/>
                            <w:sz w:val="22"/>
                          </w:rPr>
                        </w:pPr>
                        <w:r>
                          <w:rPr>
                            <w:rFonts w:ascii="Arial" w:hAnsi="Arial"/>
                            <w:color w:val="124F1A"/>
                            <w:sz w:val="22"/>
                          </w:rPr>
                          <w:t>—</w:t>
                          <w:tab/>
                          <w:t>—</w:t>
                        </w:r>
                      </w:p>
                    </w:tc>
                    <w:tc>
                      <w:tcPr>
                        <w:tcW w:w="1526" w:type="dxa"/>
                        <w:shd w:val="clear" w:color="auto" w:fill="C1F0C7"/>
                      </w:tcPr>
                      <w:p>
                        <w:pPr>
                          <w:pStyle w:val="TableParagraph"/>
                          <w:rPr>
                            <w:rFonts w:ascii="Times New Roman"/>
                            <w:sz w:val="20"/>
                          </w:rPr>
                        </w:pPr>
                      </w:p>
                    </w:tc>
                  </w:tr>
                  <w:tr>
                    <w:trPr>
                      <w:trHeight w:val="284" w:hRule="atLeast"/>
                    </w:trPr>
                    <w:tc>
                      <w:tcPr>
                        <w:tcW w:w="1736" w:type="dxa"/>
                        <w:shd w:val="clear" w:color="auto" w:fill="C1F0C7"/>
                      </w:tcPr>
                      <w:p>
                        <w:pPr>
                          <w:pStyle w:val="TableParagraph"/>
                          <w:spacing w:line="249" w:lineRule="exact"/>
                          <w:ind w:left="114"/>
                          <w:rPr>
                            <w:rFonts w:ascii="Arial"/>
                            <w:sz w:val="22"/>
                          </w:rPr>
                        </w:pPr>
                        <w:r>
                          <w:rPr>
                            <w:rFonts w:ascii="Arial"/>
                            <w:color w:val="124F1A"/>
                            <w:sz w:val="22"/>
                          </w:rPr>
                          <w:t>Children</w:t>
                        </w:r>
                      </w:p>
                    </w:tc>
                    <w:tc>
                      <w:tcPr>
                        <w:tcW w:w="1284" w:type="dxa"/>
                        <w:shd w:val="clear" w:color="auto" w:fill="C1F0C7"/>
                      </w:tcPr>
                      <w:p>
                        <w:pPr>
                          <w:pStyle w:val="TableParagraph"/>
                          <w:rPr>
                            <w:rFonts w:ascii="Times New Roman"/>
                            <w:sz w:val="20"/>
                          </w:rPr>
                        </w:pPr>
                      </w:p>
                    </w:tc>
                    <w:tc>
                      <w:tcPr>
                        <w:tcW w:w="2855" w:type="dxa"/>
                        <w:shd w:val="clear" w:color="auto" w:fill="C1F0C7"/>
                      </w:tcPr>
                      <w:p>
                        <w:pPr>
                          <w:pStyle w:val="TableParagraph"/>
                          <w:rPr>
                            <w:rFonts w:ascii="Times New Roman"/>
                            <w:sz w:val="20"/>
                          </w:rPr>
                        </w:pPr>
                      </w:p>
                    </w:tc>
                    <w:tc>
                      <w:tcPr>
                        <w:tcW w:w="1526" w:type="dxa"/>
                        <w:shd w:val="clear" w:color="auto" w:fill="C1F0C7"/>
                      </w:tcPr>
                      <w:p>
                        <w:pPr>
                          <w:pStyle w:val="TableParagraph"/>
                          <w:rPr>
                            <w:rFonts w:ascii="Times New Roman"/>
                            <w:sz w:val="20"/>
                          </w:rPr>
                        </w:pPr>
                      </w:p>
                    </w:tc>
                  </w:tr>
                  <w:tr>
                    <w:trPr>
                      <w:trHeight w:val="252" w:hRule="atLeast"/>
                    </w:trPr>
                    <w:tc>
                      <w:tcPr>
                        <w:tcW w:w="1736" w:type="dxa"/>
                      </w:tcPr>
                      <w:p>
                        <w:pPr>
                          <w:pStyle w:val="TableParagraph"/>
                          <w:spacing w:line="233" w:lineRule="exact"/>
                          <w:ind w:left="114"/>
                          <w:rPr>
                            <w:rFonts w:ascii="Arial"/>
                            <w:sz w:val="22"/>
                          </w:rPr>
                        </w:pPr>
                        <w:r>
                          <w:rPr>
                            <w:rFonts w:ascii="Arial"/>
                            <w:color w:val="124F1A"/>
                            <w:sz w:val="22"/>
                          </w:rPr>
                          <w:t>- Units</w:t>
                        </w:r>
                      </w:p>
                    </w:tc>
                    <w:tc>
                      <w:tcPr>
                        <w:tcW w:w="1284" w:type="dxa"/>
                      </w:tcPr>
                      <w:p>
                        <w:pPr>
                          <w:pStyle w:val="TableParagraph"/>
                          <w:rPr>
                            <w:rFonts w:ascii="Times New Roman"/>
                            <w:sz w:val="18"/>
                          </w:rPr>
                        </w:pPr>
                      </w:p>
                    </w:tc>
                    <w:tc>
                      <w:tcPr>
                        <w:tcW w:w="2855" w:type="dxa"/>
                      </w:tcPr>
                      <w:p>
                        <w:pPr>
                          <w:pStyle w:val="TableParagraph"/>
                          <w:rPr>
                            <w:rFonts w:ascii="Times New Roman"/>
                            <w:sz w:val="18"/>
                          </w:rPr>
                        </w:pPr>
                      </w:p>
                    </w:tc>
                    <w:tc>
                      <w:tcPr>
                        <w:tcW w:w="1526" w:type="dxa"/>
                      </w:tcPr>
                      <w:p>
                        <w:pPr>
                          <w:pStyle w:val="TableParagraph"/>
                          <w:rPr>
                            <w:rFonts w:ascii="Times New Roman"/>
                            <w:sz w:val="18"/>
                          </w:rPr>
                        </w:pPr>
                      </w:p>
                    </w:tc>
                  </w:tr>
                  <w:tr>
                    <w:trPr>
                      <w:trHeight w:val="758" w:hRule="atLeast"/>
                    </w:trPr>
                    <w:tc>
                      <w:tcPr>
                        <w:tcW w:w="3020" w:type="dxa"/>
                        <w:gridSpan w:val="2"/>
                      </w:tcPr>
                      <w:p>
                        <w:pPr>
                          <w:pStyle w:val="TableParagraph"/>
                          <w:tabs>
                            <w:tab w:pos="2904" w:val="right" w:leader="none"/>
                          </w:tabs>
                          <w:ind w:left="114"/>
                          <w:rPr>
                            <w:rFonts w:ascii="Arial"/>
                            <w:sz w:val="22"/>
                          </w:rPr>
                        </w:pPr>
                        <w:r>
                          <w:rPr>
                            <w:rFonts w:ascii="Arial"/>
                            <w:color w:val="124F1A"/>
                            <w:sz w:val="22"/>
                          </w:rPr>
                          <w:t>with</w:t>
                          <w:tab/>
                        </w:r>
                        <w:r>
                          <w:rPr>
                            <w:rFonts w:ascii="Arial"/>
                            <w:color w:val="124F1A"/>
                            <w:position w:val="-12"/>
                            <w:sz w:val="22"/>
                          </w:rPr>
                          <w:t>785</w:t>
                        </w:r>
                      </w:p>
                      <w:p>
                        <w:pPr>
                          <w:pStyle w:val="TableParagraph"/>
                          <w:spacing w:line="233" w:lineRule="exact" w:before="123"/>
                          <w:ind w:left="114"/>
                          <w:rPr>
                            <w:rFonts w:ascii="Arial"/>
                            <w:sz w:val="22"/>
                          </w:rPr>
                        </w:pPr>
                        <w:r>
                          <w:rPr>
                            <w:rFonts w:ascii="Arial"/>
                            <w:color w:val="124F1A"/>
                            <w:sz w:val="22"/>
                          </w:rPr>
                          <w:t>Present</w:t>
                        </w:r>
                      </w:p>
                    </w:tc>
                    <w:tc>
                      <w:tcPr>
                        <w:tcW w:w="2855" w:type="dxa"/>
                      </w:tcPr>
                      <w:p>
                        <w:pPr>
                          <w:pStyle w:val="TableParagraph"/>
                          <w:spacing w:before="126"/>
                          <w:ind w:left="975" w:right="1105"/>
                          <w:jc w:val="center"/>
                          <w:rPr>
                            <w:rFonts w:ascii="Arial"/>
                            <w:sz w:val="22"/>
                          </w:rPr>
                        </w:pPr>
                        <w:r>
                          <w:rPr>
                            <w:rFonts w:ascii="Arial"/>
                            <w:color w:val="124F1A"/>
                            <w:sz w:val="22"/>
                          </w:rPr>
                          <w:t>785</w:t>
                        </w:r>
                      </w:p>
                    </w:tc>
                    <w:tc>
                      <w:tcPr>
                        <w:tcW w:w="1526" w:type="dxa"/>
                      </w:tcPr>
                      <w:p>
                        <w:pPr>
                          <w:pStyle w:val="TableParagraph"/>
                          <w:spacing w:before="126"/>
                          <w:ind w:right="114"/>
                          <w:jc w:val="right"/>
                          <w:rPr>
                            <w:rFonts w:ascii="Arial"/>
                            <w:sz w:val="22"/>
                          </w:rPr>
                        </w:pPr>
                        <w:r>
                          <w:rPr>
                            <w:rFonts w:ascii="Arial"/>
                            <w:color w:val="124F1A"/>
                            <w:sz w:val="22"/>
                          </w:rPr>
                          <w:t>393</w:t>
                        </w:r>
                      </w:p>
                    </w:tc>
                  </w:tr>
                  <w:tr>
                    <w:trPr>
                      <w:trHeight w:val="822" w:hRule="atLeast"/>
                    </w:trPr>
                    <w:tc>
                      <w:tcPr>
                        <w:tcW w:w="3020" w:type="dxa"/>
                        <w:gridSpan w:val="2"/>
                        <w:tcBorders>
                          <w:bottom w:val="single" w:sz="6" w:space="0" w:color="186A24"/>
                        </w:tcBorders>
                        <w:shd w:val="clear" w:color="auto" w:fill="C1F0C7"/>
                      </w:tcPr>
                      <w:p>
                        <w:pPr>
                          <w:pStyle w:val="TableParagraph"/>
                          <w:spacing w:before="5"/>
                          <w:rPr>
                            <w:sz w:val="23"/>
                          </w:rPr>
                        </w:pPr>
                      </w:p>
                      <w:p>
                        <w:pPr>
                          <w:pStyle w:val="TableParagraph"/>
                          <w:tabs>
                            <w:tab w:pos="2232" w:val="left" w:leader="none"/>
                          </w:tabs>
                          <w:ind w:left="114"/>
                          <w:rPr>
                            <w:rFonts w:ascii="Arial"/>
                            <w:sz w:val="22"/>
                          </w:rPr>
                        </w:pPr>
                        <w:r>
                          <w:rPr>
                            <w:rFonts w:ascii="Arial"/>
                            <w:b/>
                            <w:color w:val="124F1A"/>
                            <w:sz w:val="22"/>
                          </w:rPr>
                          <w:t>Total</w:t>
                          <w:tab/>
                        </w:r>
                        <w:r>
                          <w:rPr>
                            <w:rFonts w:ascii="Arial"/>
                            <w:color w:val="124F1A"/>
                            <w:sz w:val="22"/>
                          </w:rPr>
                          <w:t>14,250</w:t>
                        </w:r>
                      </w:p>
                    </w:tc>
                    <w:tc>
                      <w:tcPr>
                        <w:tcW w:w="2855" w:type="dxa"/>
                        <w:tcBorders>
                          <w:bottom w:val="single" w:sz="6" w:space="0" w:color="186A24"/>
                        </w:tcBorders>
                        <w:shd w:val="clear" w:color="auto" w:fill="C1F0C7"/>
                      </w:tcPr>
                      <w:p>
                        <w:pPr>
                          <w:pStyle w:val="TableParagraph"/>
                          <w:spacing w:before="5"/>
                          <w:rPr>
                            <w:sz w:val="23"/>
                          </w:rPr>
                        </w:pPr>
                      </w:p>
                      <w:p>
                        <w:pPr>
                          <w:pStyle w:val="TableParagraph"/>
                          <w:ind w:left="975" w:right="1288"/>
                          <w:jc w:val="center"/>
                          <w:rPr>
                            <w:rFonts w:ascii="Arial"/>
                            <w:sz w:val="22"/>
                          </w:rPr>
                        </w:pPr>
                        <w:r>
                          <w:rPr>
                            <w:rFonts w:ascii="Arial"/>
                            <w:color w:val="124F1A"/>
                            <w:sz w:val="22"/>
                          </w:rPr>
                          <w:t>2,084</w:t>
                        </w:r>
                      </w:p>
                    </w:tc>
                    <w:tc>
                      <w:tcPr>
                        <w:tcW w:w="1526" w:type="dxa"/>
                        <w:tcBorders>
                          <w:bottom w:val="single" w:sz="6" w:space="0" w:color="186A24"/>
                        </w:tcBorders>
                        <w:shd w:val="clear" w:color="auto" w:fill="C1F0C7"/>
                      </w:tcPr>
                      <w:p>
                        <w:pPr>
                          <w:pStyle w:val="TableParagraph"/>
                          <w:spacing w:before="5"/>
                          <w:rPr>
                            <w:sz w:val="23"/>
                          </w:rPr>
                        </w:pPr>
                      </w:p>
                      <w:p>
                        <w:pPr>
                          <w:pStyle w:val="TableParagraph"/>
                          <w:ind w:right="114"/>
                          <w:jc w:val="right"/>
                          <w:rPr>
                            <w:rFonts w:ascii="Arial"/>
                            <w:b/>
                            <w:sz w:val="22"/>
                          </w:rPr>
                        </w:pPr>
                        <w:r>
                          <w:rPr>
                            <w:rFonts w:ascii="Arial"/>
                            <w:b/>
                            <w:color w:val="124F1A"/>
                            <w:sz w:val="22"/>
                          </w:rPr>
                          <w:t>1,043</w:t>
                        </w:r>
                      </w:p>
                    </w:tc>
                  </w:tr>
                </w:tbl>
                <w:p>
                  <w:pPr>
                    <w:pStyle w:val="BodyText"/>
                  </w:pPr>
                </w:p>
              </w:txbxContent>
            </v:textbox>
            <w10:wrap type="none"/>
          </v:shape>
        </w:pict>
      </w:r>
      <w:r>
        <w:rPr>
          <w:rFonts w:ascii="Arial"/>
          <w:color w:val="124F1A"/>
        </w:rPr>
        <w:t>Children</w:t>
      </w: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rPr>
          <w:rFonts w:ascii="Arial"/>
          <w:sz w:val="24"/>
        </w:rPr>
      </w:pPr>
    </w:p>
    <w:p>
      <w:pPr>
        <w:pStyle w:val="BodyText"/>
        <w:spacing w:before="2"/>
        <w:rPr>
          <w:rFonts w:ascii="Arial"/>
          <w:sz w:val="19"/>
        </w:rPr>
      </w:pPr>
    </w:p>
    <w:p>
      <w:pPr>
        <w:pStyle w:val="BodyText"/>
        <w:spacing w:line="276" w:lineRule="auto" w:before="1"/>
        <w:ind w:left="120" w:right="296"/>
      </w:pPr>
      <w:r>
        <w:rPr/>
        <w:t>This table breaks down the number of units built before 1980, those with children present, and estimates 50% of those with children being occupied by low- or moderate-income households at risk for lead-based paint hazards. The final column represents the total estimated units at risk.</w:t>
      </w:r>
    </w:p>
    <w:p>
      <w:pPr>
        <w:spacing w:after="0" w:line="276" w:lineRule="auto"/>
        <w:sectPr>
          <w:type w:val="continuous"/>
          <w:pgSz w:w="15840" w:h="12240" w:orient="landscape"/>
          <w:pgMar w:top="1340" w:bottom="1520" w:left="1320" w:right="1320"/>
        </w:sectPr>
      </w:pPr>
    </w:p>
    <w:p>
      <w:pPr>
        <w:pStyle w:val="BodyText"/>
        <w:spacing w:before="2"/>
      </w:pPr>
    </w:p>
    <w:p>
      <w:pPr>
        <w:pStyle w:val="Heading1"/>
        <w:spacing w:before="35"/>
        <w:ind w:left="120"/>
      </w:pPr>
      <w:r>
        <w:rPr>
          <w:color w:val="0E4661"/>
        </w:rPr>
        <w:t>MA-25 Public and Assisted Housing – 91.210(b)</w:t>
      </w:r>
    </w:p>
    <w:p>
      <w:pPr>
        <w:pStyle w:val="Heading4"/>
        <w:spacing w:before="137"/>
        <w:ind w:left="120"/>
      </w:pPr>
      <w:r>
        <w:rPr/>
        <w:t>Introduction</w:t>
      </w:r>
    </w:p>
    <w:p>
      <w:pPr>
        <w:spacing w:before="156"/>
        <w:ind w:left="120" w:right="0" w:firstLine="0"/>
        <w:jc w:val="left"/>
        <w:rPr>
          <w:b/>
          <w:sz w:val="24"/>
        </w:rPr>
      </w:pPr>
      <w:r>
        <w:rPr>
          <w:b/>
          <w:sz w:val="24"/>
        </w:rPr>
        <w:t>Totals Number of Units</w:t>
      </w:r>
    </w:p>
    <w:p>
      <w:pPr>
        <w:pStyle w:val="BodyText"/>
        <w:spacing w:before="8"/>
        <w:rPr>
          <w:b/>
          <w:sz w:val="19"/>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67"/>
        <w:gridCol w:w="1079"/>
        <w:gridCol w:w="1066"/>
        <w:gridCol w:w="1072"/>
        <w:gridCol w:w="1242"/>
        <w:gridCol w:w="1240"/>
        <w:gridCol w:w="1242"/>
        <w:gridCol w:w="1254"/>
        <w:gridCol w:w="1083"/>
        <w:gridCol w:w="1005"/>
      </w:tblGrid>
      <w:tr>
        <w:trPr>
          <w:trHeight w:val="190" w:hRule="atLeast"/>
        </w:trPr>
        <w:tc>
          <w:tcPr>
            <w:tcW w:w="12950" w:type="dxa"/>
            <w:gridSpan w:val="10"/>
          </w:tcPr>
          <w:p>
            <w:pPr>
              <w:pStyle w:val="TableParagraph"/>
              <w:spacing w:line="170" w:lineRule="exact"/>
              <w:ind w:left="5988" w:right="5978"/>
              <w:jc w:val="center"/>
              <w:rPr>
                <w:b/>
                <w:sz w:val="16"/>
              </w:rPr>
            </w:pPr>
            <w:r>
              <w:rPr>
                <w:b/>
                <w:sz w:val="16"/>
              </w:rPr>
              <w:t>Program Type</w:t>
            </w:r>
          </w:p>
        </w:tc>
      </w:tr>
      <w:tr>
        <w:trPr>
          <w:trHeight w:val="190" w:hRule="atLeast"/>
        </w:trPr>
        <w:tc>
          <w:tcPr>
            <w:tcW w:w="2667" w:type="dxa"/>
            <w:vMerge w:val="restart"/>
          </w:tcPr>
          <w:p>
            <w:pPr>
              <w:pStyle w:val="TableParagraph"/>
              <w:rPr>
                <w:rFonts w:ascii="Times New Roman"/>
                <w:sz w:val="20"/>
              </w:rPr>
            </w:pPr>
          </w:p>
        </w:tc>
        <w:tc>
          <w:tcPr>
            <w:tcW w:w="1079" w:type="dxa"/>
            <w:vMerge w:val="restart"/>
          </w:tcPr>
          <w:p>
            <w:pPr>
              <w:pStyle w:val="TableParagraph"/>
              <w:ind w:left="192"/>
              <w:rPr>
                <w:b/>
                <w:sz w:val="16"/>
              </w:rPr>
            </w:pPr>
            <w:r>
              <w:rPr>
                <w:b/>
                <w:sz w:val="16"/>
              </w:rPr>
              <w:t>Certificate</w:t>
            </w:r>
          </w:p>
        </w:tc>
        <w:tc>
          <w:tcPr>
            <w:tcW w:w="1066" w:type="dxa"/>
            <w:vMerge w:val="restart"/>
          </w:tcPr>
          <w:p>
            <w:pPr>
              <w:pStyle w:val="TableParagraph"/>
              <w:ind w:left="139"/>
              <w:rPr>
                <w:b/>
                <w:sz w:val="16"/>
              </w:rPr>
            </w:pPr>
            <w:r>
              <w:rPr>
                <w:b/>
                <w:sz w:val="16"/>
              </w:rPr>
              <w:t>Mod-Rehab</w:t>
            </w:r>
          </w:p>
        </w:tc>
        <w:tc>
          <w:tcPr>
            <w:tcW w:w="1072" w:type="dxa"/>
            <w:vMerge w:val="restart"/>
          </w:tcPr>
          <w:p>
            <w:pPr>
              <w:pStyle w:val="TableParagraph"/>
              <w:ind w:left="264" w:right="235" w:firstLine="67"/>
              <w:rPr>
                <w:b/>
                <w:sz w:val="16"/>
              </w:rPr>
            </w:pPr>
            <w:r>
              <w:rPr>
                <w:b/>
                <w:sz w:val="16"/>
              </w:rPr>
              <w:t>Public Housing</w:t>
            </w:r>
          </w:p>
        </w:tc>
        <w:tc>
          <w:tcPr>
            <w:tcW w:w="7066" w:type="dxa"/>
            <w:gridSpan w:val="6"/>
          </w:tcPr>
          <w:p>
            <w:pPr>
              <w:pStyle w:val="TableParagraph"/>
              <w:spacing w:line="170" w:lineRule="exact"/>
              <w:ind w:left="3200" w:right="3190"/>
              <w:jc w:val="center"/>
              <w:rPr>
                <w:b/>
                <w:sz w:val="16"/>
              </w:rPr>
            </w:pPr>
            <w:r>
              <w:rPr>
                <w:b/>
                <w:sz w:val="16"/>
              </w:rPr>
              <w:t>Vouchers</w:t>
            </w:r>
          </w:p>
        </w:tc>
      </w:tr>
      <w:tr>
        <w:trPr>
          <w:trHeight w:val="190" w:hRule="atLeast"/>
        </w:trPr>
        <w:tc>
          <w:tcPr>
            <w:tcW w:w="2667" w:type="dxa"/>
            <w:vMerge/>
            <w:tcBorders>
              <w:top w:val="nil"/>
            </w:tcBorders>
          </w:tcPr>
          <w:p>
            <w:pPr>
              <w:rPr>
                <w:sz w:val="2"/>
                <w:szCs w:val="2"/>
              </w:rPr>
            </w:pPr>
          </w:p>
        </w:tc>
        <w:tc>
          <w:tcPr>
            <w:tcW w:w="1079" w:type="dxa"/>
            <w:vMerge/>
            <w:tcBorders>
              <w:top w:val="nil"/>
            </w:tcBorders>
          </w:tcPr>
          <w:p>
            <w:pPr>
              <w:rPr>
                <w:sz w:val="2"/>
                <w:szCs w:val="2"/>
              </w:rPr>
            </w:pPr>
          </w:p>
        </w:tc>
        <w:tc>
          <w:tcPr>
            <w:tcW w:w="1066" w:type="dxa"/>
            <w:vMerge/>
            <w:tcBorders>
              <w:top w:val="nil"/>
            </w:tcBorders>
          </w:tcPr>
          <w:p>
            <w:pPr>
              <w:rPr>
                <w:sz w:val="2"/>
                <w:szCs w:val="2"/>
              </w:rPr>
            </w:pPr>
          </w:p>
        </w:tc>
        <w:tc>
          <w:tcPr>
            <w:tcW w:w="1072" w:type="dxa"/>
            <w:vMerge/>
            <w:tcBorders>
              <w:top w:val="nil"/>
            </w:tcBorders>
          </w:tcPr>
          <w:p>
            <w:pPr>
              <w:rPr>
                <w:sz w:val="2"/>
                <w:szCs w:val="2"/>
              </w:rPr>
            </w:pPr>
          </w:p>
        </w:tc>
        <w:tc>
          <w:tcPr>
            <w:tcW w:w="1242" w:type="dxa"/>
            <w:vMerge w:val="restart"/>
          </w:tcPr>
          <w:p>
            <w:pPr>
              <w:pStyle w:val="TableParagraph"/>
              <w:ind w:left="428" w:right="419"/>
              <w:jc w:val="center"/>
              <w:rPr>
                <w:b/>
                <w:sz w:val="16"/>
              </w:rPr>
            </w:pPr>
            <w:r>
              <w:rPr>
                <w:b/>
                <w:sz w:val="16"/>
              </w:rPr>
              <w:t>Total</w:t>
            </w:r>
          </w:p>
        </w:tc>
        <w:tc>
          <w:tcPr>
            <w:tcW w:w="1240" w:type="dxa"/>
            <w:vMerge w:val="restart"/>
          </w:tcPr>
          <w:p>
            <w:pPr>
              <w:pStyle w:val="TableParagraph"/>
              <w:ind w:left="141"/>
              <w:rPr>
                <w:b/>
                <w:sz w:val="16"/>
              </w:rPr>
            </w:pPr>
            <w:r>
              <w:rPr>
                <w:b/>
                <w:sz w:val="16"/>
              </w:rPr>
              <w:t>Project -based</w:t>
            </w:r>
          </w:p>
        </w:tc>
        <w:tc>
          <w:tcPr>
            <w:tcW w:w="1242" w:type="dxa"/>
            <w:vMerge w:val="restart"/>
          </w:tcPr>
          <w:p>
            <w:pPr>
              <w:pStyle w:val="TableParagraph"/>
              <w:ind w:left="145"/>
              <w:rPr>
                <w:b/>
                <w:sz w:val="16"/>
              </w:rPr>
            </w:pPr>
            <w:r>
              <w:rPr>
                <w:b/>
                <w:sz w:val="16"/>
              </w:rPr>
              <w:t>Tenant -based</w:t>
            </w:r>
          </w:p>
        </w:tc>
        <w:tc>
          <w:tcPr>
            <w:tcW w:w="3342" w:type="dxa"/>
            <w:gridSpan w:val="3"/>
          </w:tcPr>
          <w:p>
            <w:pPr>
              <w:pStyle w:val="TableParagraph"/>
              <w:spacing w:line="170" w:lineRule="exact"/>
              <w:ind w:left="848"/>
              <w:rPr>
                <w:b/>
                <w:sz w:val="16"/>
              </w:rPr>
            </w:pPr>
            <w:r>
              <w:rPr>
                <w:b/>
                <w:sz w:val="16"/>
              </w:rPr>
              <w:t>Special Purpose Voucher</w:t>
            </w:r>
          </w:p>
        </w:tc>
      </w:tr>
      <w:tr>
        <w:trPr>
          <w:trHeight w:val="776" w:hRule="atLeast"/>
        </w:trPr>
        <w:tc>
          <w:tcPr>
            <w:tcW w:w="2667" w:type="dxa"/>
            <w:vMerge/>
            <w:tcBorders>
              <w:top w:val="nil"/>
            </w:tcBorders>
          </w:tcPr>
          <w:p>
            <w:pPr>
              <w:rPr>
                <w:sz w:val="2"/>
                <w:szCs w:val="2"/>
              </w:rPr>
            </w:pPr>
          </w:p>
        </w:tc>
        <w:tc>
          <w:tcPr>
            <w:tcW w:w="1079" w:type="dxa"/>
            <w:vMerge/>
            <w:tcBorders>
              <w:top w:val="nil"/>
            </w:tcBorders>
          </w:tcPr>
          <w:p>
            <w:pPr>
              <w:rPr>
                <w:sz w:val="2"/>
                <w:szCs w:val="2"/>
              </w:rPr>
            </w:pPr>
          </w:p>
        </w:tc>
        <w:tc>
          <w:tcPr>
            <w:tcW w:w="1066" w:type="dxa"/>
            <w:vMerge/>
            <w:tcBorders>
              <w:top w:val="nil"/>
            </w:tcBorders>
          </w:tcPr>
          <w:p>
            <w:pPr>
              <w:rPr>
                <w:sz w:val="2"/>
                <w:szCs w:val="2"/>
              </w:rPr>
            </w:pPr>
          </w:p>
        </w:tc>
        <w:tc>
          <w:tcPr>
            <w:tcW w:w="1072" w:type="dxa"/>
            <w:vMerge/>
            <w:tcBorders>
              <w:top w:val="nil"/>
            </w:tcBorders>
          </w:tcPr>
          <w:p>
            <w:pPr>
              <w:rPr>
                <w:sz w:val="2"/>
                <w:szCs w:val="2"/>
              </w:rPr>
            </w:pPr>
          </w:p>
        </w:tc>
        <w:tc>
          <w:tcPr>
            <w:tcW w:w="1242" w:type="dxa"/>
            <w:vMerge/>
            <w:tcBorders>
              <w:top w:val="nil"/>
            </w:tcBorders>
          </w:tcPr>
          <w:p>
            <w:pPr>
              <w:rPr>
                <w:sz w:val="2"/>
                <w:szCs w:val="2"/>
              </w:rPr>
            </w:pPr>
          </w:p>
        </w:tc>
        <w:tc>
          <w:tcPr>
            <w:tcW w:w="1240" w:type="dxa"/>
            <w:vMerge/>
            <w:tcBorders>
              <w:top w:val="nil"/>
            </w:tcBorders>
          </w:tcPr>
          <w:p>
            <w:pPr>
              <w:rPr>
                <w:sz w:val="2"/>
                <w:szCs w:val="2"/>
              </w:rPr>
            </w:pPr>
          </w:p>
        </w:tc>
        <w:tc>
          <w:tcPr>
            <w:tcW w:w="1242" w:type="dxa"/>
            <w:vMerge/>
            <w:tcBorders>
              <w:top w:val="nil"/>
            </w:tcBorders>
          </w:tcPr>
          <w:p>
            <w:pPr>
              <w:rPr>
                <w:sz w:val="2"/>
                <w:szCs w:val="2"/>
              </w:rPr>
            </w:pPr>
          </w:p>
        </w:tc>
        <w:tc>
          <w:tcPr>
            <w:tcW w:w="1254" w:type="dxa"/>
          </w:tcPr>
          <w:p>
            <w:pPr>
              <w:pStyle w:val="TableParagraph"/>
              <w:spacing w:line="190" w:lineRule="atLeast"/>
              <w:ind w:left="260" w:right="248"/>
              <w:jc w:val="center"/>
              <w:rPr>
                <w:b/>
                <w:sz w:val="16"/>
              </w:rPr>
            </w:pPr>
            <w:r>
              <w:rPr>
                <w:b/>
                <w:sz w:val="16"/>
              </w:rPr>
              <w:t>Veterans Affairs Supportive Housing</w:t>
            </w:r>
          </w:p>
        </w:tc>
        <w:tc>
          <w:tcPr>
            <w:tcW w:w="1083" w:type="dxa"/>
          </w:tcPr>
          <w:p>
            <w:pPr>
              <w:pStyle w:val="TableParagraph"/>
              <w:ind w:left="172" w:right="160"/>
              <w:jc w:val="center"/>
              <w:rPr>
                <w:b/>
                <w:sz w:val="16"/>
              </w:rPr>
            </w:pPr>
            <w:r>
              <w:rPr>
                <w:b/>
                <w:sz w:val="16"/>
              </w:rPr>
              <w:t>Family Unification Program</w:t>
            </w:r>
          </w:p>
        </w:tc>
        <w:tc>
          <w:tcPr>
            <w:tcW w:w="1005" w:type="dxa"/>
          </w:tcPr>
          <w:p>
            <w:pPr>
              <w:pStyle w:val="TableParagraph"/>
              <w:ind w:left="192" w:right="182"/>
              <w:jc w:val="center"/>
              <w:rPr>
                <w:b/>
                <w:sz w:val="16"/>
              </w:rPr>
            </w:pPr>
            <w:r>
              <w:rPr>
                <w:b/>
                <w:sz w:val="16"/>
              </w:rPr>
              <w:t>Disabled</w:t>
            </w:r>
          </w:p>
          <w:p>
            <w:pPr>
              <w:pStyle w:val="TableParagraph"/>
              <w:ind w:left="9"/>
              <w:jc w:val="center"/>
              <w:rPr>
                <w:sz w:val="16"/>
              </w:rPr>
            </w:pPr>
            <w:r>
              <w:rPr>
                <w:sz w:val="16"/>
              </w:rPr>
              <w:t>*</w:t>
            </w:r>
          </w:p>
        </w:tc>
      </w:tr>
      <w:tr>
        <w:trPr>
          <w:trHeight w:val="807" w:hRule="atLeast"/>
        </w:trPr>
        <w:tc>
          <w:tcPr>
            <w:tcW w:w="2667" w:type="dxa"/>
          </w:tcPr>
          <w:p>
            <w:pPr>
              <w:pStyle w:val="TableParagraph"/>
              <w:spacing w:line="276" w:lineRule="auto"/>
              <w:ind w:left="112" w:right="824"/>
              <w:rPr>
                <w:sz w:val="22"/>
              </w:rPr>
            </w:pPr>
            <w:r>
              <w:rPr>
                <w:sz w:val="22"/>
              </w:rPr>
              <w:t># of units vouchers available</w:t>
            </w:r>
          </w:p>
        </w:tc>
        <w:tc>
          <w:tcPr>
            <w:tcW w:w="1079" w:type="dxa"/>
          </w:tcPr>
          <w:p>
            <w:pPr>
              <w:pStyle w:val="TableParagraph"/>
              <w:rPr>
                <w:b/>
                <w:sz w:val="25"/>
              </w:rPr>
            </w:pPr>
          </w:p>
          <w:p>
            <w:pPr>
              <w:pStyle w:val="TableParagraph"/>
              <w:ind w:right="100"/>
              <w:jc w:val="right"/>
              <w:rPr>
                <w:sz w:val="22"/>
              </w:rPr>
            </w:pPr>
            <w:r>
              <w:rPr>
                <w:sz w:val="22"/>
              </w:rPr>
              <w:t>0</w:t>
            </w:r>
          </w:p>
        </w:tc>
        <w:tc>
          <w:tcPr>
            <w:tcW w:w="1066" w:type="dxa"/>
          </w:tcPr>
          <w:p>
            <w:pPr>
              <w:pStyle w:val="TableParagraph"/>
              <w:rPr>
                <w:b/>
                <w:sz w:val="25"/>
              </w:rPr>
            </w:pPr>
          </w:p>
          <w:p>
            <w:pPr>
              <w:pStyle w:val="TableParagraph"/>
              <w:ind w:right="100"/>
              <w:jc w:val="right"/>
              <w:rPr>
                <w:sz w:val="22"/>
              </w:rPr>
            </w:pPr>
            <w:r>
              <w:rPr>
                <w:sz w:val="22"/>
              </w:rPr>
              <w:t>11</w:t>
            </w:r>
          </w:p>
        </w:tc>
        <w:tc>
          <w:tcPr>
            <w:tcW w:w="1072" w:type="dxa"/>
          </w:tcPr>
          <w:p>
            <w:pPr>
              <w:pStyle w:val="TableParagraph"/>
              <w:rPr>
                <w:b/>
                <w:sz w:val="25"/>
              </w:rPr>
            </w:pPr>
          </w:p>
          <w:p>
            <w:pPr>
              <w:pStyle w:val="TableParagraph"/>
              <w:ind w:left="619"/>
              <w:rPr>
                <w:sz w:val="22"/>
              </w:rPr>
            </w:pPr>
            <w:r>
              <w:rPr>
                <w:sz w:val="22"/>
              </w:rPr>
              <w:t>312</w:t>
            </w:r>
          </w:p>
        </w:tc>
        <w:tc>
          <w:tcPr>
            <w:tcW w:w="1242" w:type="dxa"/>
          </w:tcPr>
          <w:p>
            <w:pPr>
              <w:pStyle w:val="TableParagraph"/>
              <w:rPr>
                <w:b/>
                <w:sz w:val="25"/>
              </w:rPr>
            </w:pPr>
          </w:p>
          <w:p>
            <w:pPr>
              <w:pStyle w:val="TableParagraph"/>
              <w:ind w:left="623"/>
              <w:rPr>
                <w:sz w:val="22"/>
              </w:rPr>
            </w:pPr>
            <w:r>
              <w:rPr>
                <w:sz w:val="22"/>
              </w:rPr>
              <w:t>1,319</w:t>
            </w:r>
          </w:p>
        </w:tc>
        <w:tc>
          <w:tcPr>
            <w:tcW w:w="1240" w:type="dxa"/>
          </w:tcPr>
          <w:p>
            <w:pPr>
              <w:pStyle w:val="TableParagraph"/>
              <w:rPr>
                <w:b/>
                <w:sz w:val="25"/>
              </w:rPr>
            </w:pPr>
          </w:p>
          <w:p>
            <w:pPr>
              <w:pStyle w:val="TableParagraph"/>
              <w:ind w:right="100"/>
              <w:jc w:val="right"/>
              <w:rPr>
                <w:sz w:val="22"/>
              </w:rPr>
            </w:pPr>
            <w:r>
              <w:rPr>
                <w:sz w:val="22"/>
              </w:rPr>
              <w:t>0</w:t>
            </w:r>
          </w:p>
        </w:tc>
        <w:tc>
          <w:tcPr>
            <w:tcW w:w="1242" w:type="dxa"/>
          </w:tcPr>
          <w:p>
            <w:pPr>
              <w:pStyle w:val="TableParagraph"/>
              <w:rPr>
                <w:b/>
                <w:sz w:val="25"/>
              </w:rPr>
            </w:pPr>
          </w:p>
          <w:p>
            <w:pPr>
              <w:pStyle w:val="TableParagraph"/>
              <w:ind w:left="623"/>
              <w:rPr>
                <w:sz w:val="22"/>
              </w:rPr>
            </w:pPr>
            <w:r>
              <w:rPr>
                <w:sz w:val="22"/>
              </w:rPr>
              <w:t>1,319</w:t>
            </w:r>
          </w:p>
        </w:tc>
        <w:tc>
          <w:tcPr>
            <w:tcW w:w="1254" w:type="dxa"/>
          </w:tcPr>
          <w:p>
            <w:pPr>
              <w:pStyle w:val="TableParagraph"/>
              <w:rPr>
                <w:b/>
                <w:sz w:val="25"/>
              </w:rPr>
            </w:pPr>
          </w:p>
          <w:p>
            <w:pPr>
              <w:pStyle w:val="TableParagraph"/>
              <w:ind w:left="801"/>
              <w:rPr>
                <w:sz w:val="22"/>
              </w:rPr>
            </w:pPr>
            <w:r>
              <w:rPr>
                <w:sz w:val="22"/>
              </w:rPr>
              <w:t>258</w:t>
            </w:r>
          </w:p>
        </w:tc>
        <w:tc>
          <w:tcPr>
            <w:tcW w:w="1083" w:type="dxa"/>
          </w:tcPr>
          <w:p>
            <w:pPr>
              <w:pStyle w:val="TableParagraph"/>
              <w:rPr>
                <w:b/>
                <w:sz w:val="25"/>
              </w:rPr>
            </w:pPr>
          </w:p>
          <w:p>
            <w:pPr>
              <w:pStyle w:val="TableParagraph"/>
              <w:ind w:right="100"/>
              <w:jc w:val="right"/>
              <w:rPr>
                <w:sz w:val="22"/>
              </w:rPr>
            </w:pPr>
            <w:r>
              <w:rPr>
                <w:sz w:val="22"/>
              </w:rPr>
              <w:t>0</w:t>
            </w:r>
          </w:p>
        </w:tc>
        <w:tc>
          <w:tcPr>
            <w:tcW w:w="1005" w:type="dxa"/>
          </w:tcPr>
          <w:p>
            <w:pPr>
              <w:pStyle w:val="TableParagraph"/>
              <w:rPr>
                <w:b/>
                <w:sz w:val="25"/>
              </w:rPr>
            </w:pPr>
          </w:p>
          <w:p>
            <w:pPr>
              <w:pStyle w:val="TableParagraph"/>
              <w:ind w:right="100"/>
              <w:jc w:val="right"/>
              <w:rPr>
                <w:sz w:val="22"/>
              </w:rPr>
            </w:pPr>
            <w:r>
              <w:rPr>
                <w:sz w:val="22"/>
              </w:rPr>
              <w:t>0</w:t>
            </w:r>
          </w:p>
        </w:tc>
      </w:tr>
      <w:tr>
        <w:trPr>
          <w:trHeight w:val="503" w:hRule="atLeast"/>
        </w:trPr>
        <w:tc>
          <w:tcPr>
            <w:tcW w:w="2667" w:type="dxa"/>
          </w:tcPr>
          <w:p>
            <w:pPr>
              <w:pStyle w:val="TableParagraph"/>
              <w:spacing w:before="1"/>
              <w:ind w:left="112"/>
              <w:rPr>
                <w:sz w:val="22"/>
              </w:rPr>
            </w:pPr>
            <w:r>
              <w:rPr>
                <w:sz w:val="22"/>
              </w:rPr>
              <w:t># of accessible units</w:t>
            </w:r>
          </w:p>
        </w:tc>
        <w:tc>
          <w:tcPr>
            <w:tcW w:w="1079" w:type="dxa"/>
          </w:tcPr>
          <w:p>
            <w:pPr>
              <w:pStyle w:val="TableParagraph"/>
              <w:rPr>
                <w:rFonts w:ascii="Times New Roman"/>
                <w:sz w:val="20"/>
              </w:rPr>
            </w:pPr>
          </w:p>
        </w:tc>
        <w:tc>
          <w:tcPr>
            <w:tcW w:w="1066" w:type="dxa"/>
          </w:tcPr>
          <w:p>
            <w:pPr>
              <w:pStyle w:val="TableParagraph"/>
              <w:rPr>
                <w:rFonts w:ascii="Times New Roman"/>
                <w:sz w:val="20"/>
              </w:rPr>
            </w:pPr>
          </w:p>
        </w:tc>
        <w:tc>
          <w:tcPr>
            <w:tcW w:w="1072" w:type="dxa"/>
          </w:tcPr>
          <w:p>
            <w:pPr>
              <w:pStyle w:val="TableParagraph"/>
              <w:rPr>
                <w:rFonts w:ascii="Times New Roman"/>
                <w:sz w:val="20"/>
              </w:rPr>
            </w:pPr>
          </w:p>
        </w:tc>
        <w:tc>
          <w:tcPr>
            <w:tcW w:w="1242" w:type="dxa"/>
          </w:tcPr>
          <w:p>
            <w:pPr>
              <w:pStyle w:val="TableParagraph"/>
              <w:rPr>
                <w:rFonts w:ascii="Times New Roman"/>
                <w:sz w:val="20"/>
              </w:rPr>
            </w:pPr>
          </w:p>
        </w:tc>
        <w:tc>
          <w:tcPr>
            <w:tcW w:w="1240" w:type="dxa"/>
          </w:tcPr>
          <w:p>
            <w:pPr>
              <w:pStyle w:val="TableParagraph"/>
              <w:rPr>
                <w:rFonts w:ascii="Times New Roman"/>
                <w:sz w:val="20"/>
              </w:rPr>
            </w:pPr>
          </w:p>
        </w:tc>
        <w:tc>
          <w:tcPr>
            <w:tcW w:w="1242" w:type="dxa"/>
          </w:tcPr>
          <w:p>
            <w:pPr>
              <w:pStyle w:val="TableParagraph"/>
              <w:rPr>
                <w:rFonts w:ascii="Times New Roman"/>
                <w:sz w:val="20"/>
              </w:rPr>
            </w:pPr>
          </w:p>
        </w:tc>
        <w:tc>
          <w:tcPr>
            <w:tcW w:w="1254" w:type="dxa"/>
          </w:tcPr>
          <w:p>
            <w:pPr>
              <w:pStyle w:val="TableParagraph"/>
              <w:rPr>
                <w:rFonts w:ascii="Times New Roman"/>
                <w:sz w:val="20"/>
              </w:rPr>
            </w:pPr>
          </w:p>
        </w:tc>
        <w:tc>
          <w:tcPr>
            <w:tcW w:w="1083" w:type="dxa"/>
          </w:tcPr>
          <w:p>
            <w:pPr>
              <w:pStyle w:val="TableParagraph"/>
              <w:rPr>
                <w:rFonts w:ascii="Times New Roman"/>
                <w:sz w:val="20"/>
              </w:rPr>
            </w:pPr>
          </w:p>
        </w:tc>
        <w:tc>
          <w:tcPr>
            <w:tcW w:w="1005" w:type="dxa"/>
          </w:tcPr>
          <w:p>
            <w:pPr>
              <w:pStyle w:val="TableParagraph"/>
              <w:rPr>
                <w:rFonts w:ascii="Times New Roman"/>
                <w:sz w:val="20"/>
              </w:rPr>
            </w:pPr>
          </w:p>
        </w:tc>
      </w:tr>
    </w:tbl>
    <w:p>
      <w:pPr>
        <w:pStyle w:val="BodyText"/>
        <w:spacing w:before="3"/>
        <w:rPr>
          <w:b/>
          <w:sz w:val="25"/>
        </w:rPr>
      </w:pPr>
    </w:p>
    <w:p>
      <w:pPr>
        <w:pStyle w:val="BodyText"/>
        <w:ind w:left="115"/>
        <w:rPr>
          <w:sz w:val="20"/>
        </w:rPr>
      </w:pPr>
      <w:r>
        <w:rPr>
          <w:position w:val="0"/>
          <w:sz w:val="20"/>
        </w:rPr>
        <w:pict>
          <v:shape style="width:647.5pt;height:12.75pt;mso-position-horizontal-relative:char;mso-position-vertical-relative:line" type="#_x0000_t202" filled="false" stroked="true" strokeweight=".5pt" strokecolor="#000000">
            <w10:anchorlock/>
            <v:textbox inset="0,0,0,0">
              <w:txbxContent>
                <w:p>
                  <w:pPr>
                    <w:spacing w:line="240" w:lineRule="exact" w:before="3"/>
                    <w:ind w:left="109" w:right="0" w:firstLine="0"/>
                    <w:jc w:val="left"/>
                    <w:rPr>
                      <w:b/>
                      <w:sz w:val="20"/>
                    </w:rPr>
                  </w:pPr>
                  <w:r>
                    <w:rPr>
                      <w:b/>
                      <w:sz w:val="20"/>
                    </w:rPr>
                    <w:t>*includes Non-Elderly Disabled, Mainstream One-Year, Mainstream Five-year, and Nursing Home Transition</w:t>
                  </w:r>
                </w:p>
              </w:txbxContent>
            </v:textbox>
            <v:stroke dashstyle="solid"/>
          </v:shape>
        </w:pict>
      </w:r>
      <w:r>
        <w:rPr>
          <w:position w:val="0"/>
          <w:sz w:val="20"/>
        </w:rPr>
      </w:r>
    </w:p>
    <w:p>
      <w:pPr>
        <w:spacing w:after="0"/>
        <w:rPr>
          <w:sz w:val="20"/>
        </w:rPr>
        <w:sectPr>
          <w:headerReference w:type="default" r:id="rId59"/>
          <w:footerReference w:type="default" r:id="rId60"/>
          <w:pgSz w:w="15840" w:h="12240" w:orient="landscape"/>
          <w:pgMar w:header="0" w:footer="1072" w:top="1140" w:bottom="1260" w:left="1320" w:right="1320"/>
          <w:pgNumType w:start="73"/>
        </w:sectPr>
      </w:pPr>
    </w:p>
    <w:p>
      <w:pPr>
        <w:pStyle w:val="BodyText"/>
        <w:spacing w:before="6"/>
        <w:rPr>
          <w:b/>
          <w:sz w:val="16"/>
        </w:rPr>
      </w:pPr>
    </w:p>
    <w:p>
      <w:pPr>
        <w:spacing w:before="0"/>
        <w:ind w:left="235" w:right="20" w:firstLine="0"/>
        <w:jc w:val="left"/>
        <w:rPr>
          <w:b/>
          <w:sz w:val="16"/>
        </w:rPr>
      </w:pPr>
      <w:r>
        <w:rPr>
          <w:b/>
          <w:sz w:val="16"/>
        </w:rPr>
        <w:t>Data Source:</w:t>
      </w:r>
    </w:p>
    <w:p>
      <w:pPr>
        <w:pStyle w:val="BodyText"/>
        <w:spacing w:before="6"/>
        <w:rPr>
          <w:b/>
          <w:sz w:val="16"/>
        </w:rPr>
      </w:pPr>
      <w:r>
        <w:rPr/>
        <w:br w:type="column"/>
      </w:r>
      <w:r>
        <w:rPr>
          <w:b/>
          <w:sz w:val="16"/>
        </w:rPr>
      </w:r>
    </w:p>
    <w:p>
      <w:pPr>
        <w:spacing w:before="0"/>
        <w:ind w:left="235" w:right="0" w:firstLine="0"/>
        <w:jc w:val="left"/>
        <w:rPr>
          <w:sz w:val="16"/>
        </w:rPr>
      </w:pPr>
      <w:r>
        <w:rPr>
          <w:sz w:val="16"/>
        </w:rPr>
        <w:t>PIC (PIH Information Center)</w:t>
      </w:r>
    </w:p>
    <w:p>
      <w:pPr>
        <w:spacing w:line="199" w:lineRule="exact" w:before="0"/>
        <w:ind w:left="235" w:right="0" w:firstLine="0"/>
        <w:jc w:val="left"/>
        <w:rPr>
          <w:rFonts w:ascii="Arial" w:hAnsi="Arial"/>
          <w:b/>
          <w:sz w:val="20"/>
        </w:rPr>
      </w:pPr>
      <w:r>
        <w:rPr/>
        <w:br w:type="column"/>
      </w:r>
      <w:r>
        <w:rPr>
          <w:rFonts w:ascii="Arial" w:hAnsi="Arial"/>
          <w:b/>
          <w:sz w:val="20"/>
        </w:rPr>
        <w:t>Table 41 – Total Number of Units by Program Type</w:t>
      </w:r>
    </w:p>
    <w:p>
      <w:pPr>
        <w:spacing w:after="0" w:line="199" w:lineRule="exact"/>
        <w:jc w:val="left"/>
        <w:rPr>
          <w:rFonts w:ascii="Arial" w:hAnsi="Arial"/>
          <w:sz w:val="20"/>
        </w:rPr>
        <w:sectPr>
          <w:type w:val="continuous"/>
          <w:pgSz w:w="15840" w:h="12240" w:orient="landscape"/>
          <w:pgMar w:top="1340" w:bottom="1520" w:left="1320" w:right="1320"/>
          <w:cols w:num="3" w:equalWidth="0">
            <w:col w:w="772" w:space="294"/>
            <w:col w:w="2127" w:space="772"/>
            <w:col w:w="9235"/>
          </w:cols>
        </w:sectPr>
      </w:pPr>
    </w:p>
    <w:p>
      <w:pPr>
        <w:pStyle w:val="BodyText"/>
        <w:rPr>
          <w:rFonts w:ascii="Arial"/>
          <w:b/>
          <w:sz w:val="20"/>
        </w:rPr>
      </w:pPr>
    </w:p>
    <w:p>
      <w:pPr>
        <w:pStyle w:val="BodyText"/>
        <w:spacing w:before="10"/>
        <w:rPr>
          <w:rFonts w:ascii="Arial"/>
          <w:b/>
        </w:rPr>
      </w:pPr>
    </w:p>
    <w:p>
      <w:pPr>
        <w:pStyle w:val="Heading4"/>
        <w:spacing w:before="52"/>
        <w:ind w:left="120"/>
      </w:pPr>
      <w:r>
        <w:rPr/>
        <w:t>Describe the supply of public housing developments:</w:t>
      </w:r>
    </w:p>
    <w:p>
      <w:pPr>
        <w:pStyle w:val="BodyText"/>
        <w:spacing w:before="11"/>
        <w:rPr>
          <w:b/>
          <w:sz w:val="19"/>
        </w:rPr>
      </w:pPr>
    </w:p>
    <w:p>
      <w:pPr>
        <w:pStyle w:val="BodyText"/>
        <w:spacing w:line="276" w:lineRule="auto"/>
        <w:ind w:left="120" w:right="205"/>
      </w:pPr>
      <w:r>
        <w:rPr/>
        <w:t>The Bloomington Housing Authority (BHA) no longer operates public housing, having transitioned to the Rental Assistance Demonstration (RAD) program.</w:t>
      </w:r>
    </w:p>
    <w:p>
      <w:pPr>
        <w:pStyle w:val="BodyText"/>
        <w:spacing w:before="5"/>
        <w:rPr>
          <w:sz w:val="16"/>
        </w:rPr>
      </w:pPr>
    </w:p>
    <w:p>
      <w:pPr>
        <w:pStyle w:val="Heading4"/>
        <w:spacing w:line="276" w:lineRule="auto" w:before="1"/>
        <w:ind w:left="120" w:right="227"/>
      </w:pPr>
      <w:r>
        <w:rPr/>
        <w:t>Describe the number and physical condition of public housing units in the jurisdiction, including those that are participating in an approved Public Housing Agency Plan:</w:t>
      </w:r>
    </w:p>
    <w:p>
      <w:pPr>
        <w:spacing w:after="0" w:line="276" w:lineRule="auto"/>
        <w:sectPr>
          <w:type w:val="continuous"/>
          <w:pgSz w:w="15840" w:h="12240" w:orient="landscape"/>
          <w:pgMar w:top="1340" w:bottom="1520" w:left="1320" w:right="1320"/>
        </w:sectPr>
      </w:pPr>
    </w:p>
    <w:p>
      <w:pPr>
        <w:pStyle w:val="BodyText"/>
        <w:rPr>
          <w:b/>
          <w:sz w:val="20"/>
        </w:rPr>
      </w:pPr>
    </w:p>
    <w:p>
      <w:pPr>
        <w:pStyle w:val="BodyText"/>
        <w:rPr>
          <w:b/>
          <w:sz w:val="20"/>
        </w:rPr>
      </w:pPr>
    </w:p>
    <w:p>
      <w:pPr>
        <w:pStyle w:val="BodyText"/>
        <w:spacing w:before="7"/>
        <w:rPr>
          <w:b/>
          <w:sz w:val="26"/>
        </w:rPr>
      </w:pPr>
    </w:p>
    <w:p>
      <w:pPr>
        <w:pStyle w:val="BodyText"/>
        <w:spacing w:line="276" w:lineRule="auto" w:before="56"/>
        <w:ind w:left="120" w:right="198"/>
      </w:pPr>
      <w:r>
        <w:rPr/>
        <w:t>The RAD units, previously public housing, consist of a variety of bedroom sizes: 130 one-bedroom units, 90 two-bedroom units, 86 three- bedroom units, and smaller numbers of four- and five-bedroom units, totaling 320 units across RAD I and RAD II properties. In addition to these, the BHA administers 21 Emergency Housing Vouchers (EHVs) and 12 Single Room Occupancy (SRO) vouchers.</w:t>
      </w:r>
    </w:p>
    <w:p>
      <w:pPr>
        <w:pStyle w:val="BodyText"/>
        <w:spacing w:before="5"/>
        <w:rPr>
          <w:sz w:val="16"/>
        </w:rPr>
      </w:pPr>
    </w:p>
    <w:p>
      <w:pPr>
        <w:pStyle w:val="BodyText"/>
        <w:spacing w:line="276" w:lineRule="auto"/>
        <w:ind w:left="120" w:right="340"/>
      </w:pPr>
      <w:r>
        <w:rPr/>
        <w:t>The Housing Choice Voucher (HCV) waiting list currently has 987 applicants, with high demand for one-, two-, and three-bedroom units, particularly within RAD properties. There are 458 project-based vouchers (PBVs) in use, which include the RAD units. Despite the availability of vouchers, the local rental market faces challenges. Rents for non-student housing are rising, while developers are mainly focusing on luxury housing and student-centric apartments, exacerbating the competition for affordable units.</w:t>
      </w:r>
    </w:p>
    <w:p>
      <w:pPr>
        <w:pStyle w:val="BodyText"/>
        <w:spacing w:before="4"/>
        <w:rPr>
          <w:sz w:val="16"/>
        </w:rPr>
      </w:pPr>
    </w:p>
    <w:p>
      <w:pPr>
        <w:pStyle w:val="BodyText"/>
        <w:spacing w:line="276" w:lineRule="auto"/>
        <w:ind w:left="120" w:right="183"/>
      </w:pPr>
      <w:r>
        <w:rPr/>
        <w:t>The city has seen an increasing need for specific types of housing, including Permanent Supportive Housing (PSH), Single Room Occupancy (SRO) units, and family-friendly housing across various sizes. The rental market has become more competitive due to the growing student population at Indiana University and the rise of non-owner-occupied short-term rentals, such as those listed on Airbnb.</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tabs>
          <w:tab w:pos="5759" w:val="left" w:leader="none"/>
          <w:tab w:pos="11353" w:val="right" w:leader="none"/>
        </w:tabs>
        <w:spacing w:before="56"/>
        <w:ind w:left="1846"/>
      </w:pPr>
      <w:r>
        <w:rPr/>
        <w:t>Consolidated Plan</w:t>
        <w:tab/>
        <w:t>BLOOMINGTON</w:t>
        <w:tab/>
        <w:t>74</w:t>
      </w:r>
    </w:p>
    <w:p>
      <w:pPr>
        <w:spacing w:after="0"/>
        <w:sectPr>
          <w:headerReference w:type="default" r:id="rId61"/>
          <w:footerReference w:type="default" r:id="rId62"/>
          <w:pgSz w:w="15840" w:h="12240" w:orient="landscape"/>
          <w:pgMar w:header="0" w:footer="726" w:top="1140" w:bottom="920" w:left="1320" w:right="1320"/>
        </w:sectPr>
      </w:pPr>
    </w:p>
    <w:p>
      <w:pPr>
        <w:pStyle w:val="Heading4"/>
        <w:spacing w:before="24"/>
        <w:ind w:left="120"/>
      </w:pPr>
      <w:r>
        <w:rPr/>
        <w:t>Public Housing Condition</w:t>
      </w:r>
    </w:p>
    <w:p>
      <w:pPr>
        <w:pStyle w:val="BodyText"/>
        <w:spacing w:before="8"/>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48"/>
        <w:gridCol w:w="4902"/>
      </w:tblGrid>
      <w:tr>
        <w:trPr>
          <w:trHeight w:val="263" w:hRule="atLeast"/>
        </w:trPr>
        <w:tc>
          <w:tcPr>
            <w:tcW w:w="4448" w:type="dxa"/>
          </w:tcPr>
          <w:p>
            <w:pPr>
              <w:pStyle w:val="TableParagraph"/>
              <w:spacing w:line="242" w:lineRule="exact" w:before="1"/>
              <w:ind w:left="906"/>
              <w:rPr>
                <w:b/>
                <w:sz w:val="22"/>
              </w:rPr>
            </w:pPr>
            <w:r>
              <w:rPr>
                <w:b/>
                <w:sz w:val="22"/>
              </w:rPr>
              <w:t>Public Housing Development</w:t>
            </w:r>
          </w:p>
        </w:tc>
        <w:tc>
          <w:tcPr>
            <w:tcW w:w="4902" w:type="dxa"/>
          </w:tcPr>
          <w:p>
            <w:pPr>
              <w:pStyle w:val="TableParagraph"/>
              <w:spacing w:line="242" w:lineRule="exact" w:before="1"/>
              <w:ind w:left="1296"/>
              <w:rPr>
                <w:b/>
                <w:sz w:val="22"/>
              </w:rPr>
            </w:pPr>
            <w:r>
              <w:rPr>
                <w:b/>
                <w:sz w:val="22"/>
              </w:rPr>
              <w:t>Average Inspection Score</w:t>
            </w:r>
          </w:p>
        </w:tc>
      </w:tr>
      <w:tr>
        <w:trPr>
          <w:trHeight w:val="263" w:hRule="atLeast"/>
        </w:trPr>
        <w:tc>
          <w:tcPr>
            <w:tcW w:w="4448" w:type="dxa"/>
          </w:tcPr>
          <w:p>
            <w:pPr>
              <w:pStyle w:val="TableParagraph"/>
              <w:rPr>
                <w:rFonts w:ascii="Times New Roman"/>
                <w:sz w:val="18"/>
              </w:rPr>
            </w:pPr>
          </w:p>
        </w:tc>
        <w:tc>
          <w:tcPr>
            <w:tcW w:w="4902" w:type="dxa"/>
          </w:tcPr>
          <w:p>
            <w:pPr>
              <w:pStyle w:val="TableParagraph"/>
              <w:rPr>
                <w:rFonts w:ascii="Times New Roman"/>
                <w:sz w:val="18"/>
              </w:rPr>
            </w:pPr>
          </w:p>
        </w:tc>
      </w:tr>
    </w:tbl>
    <w:p>
      <w:pPr>
        <w:spacing w:before="0"/>
        <w:ind w:left="3068" w:right="3048" w:firstLine="0"/>
        <w:jc w:val="center"/>
        <w:rPr>
          <w:rFonts w:ascii="Arial"/>
          <w:b/>
          <w:sz w:val="20"/>
        </w:rPr>
      </w:pPr>
      <w:r>
        <w:rPr>
          <w:rFonts w:ascii="Arial"/>
          <w:b/>
          <w:sz w:val="20"/>
        </w:rPr>
        <w:t>Table 42 - Public Housing Condition</w:t>
      </w:r>
    </w:p>
    <w:p>
      <w:pPr>
        <w:pStyle w:val="BodyText"/>
        <w:rPr>
          <w:rFonts w:ascii="Arial"/>
          <w:b/>
        </w:rPr>
      </w:pPr>
    </w:p>
    <w:p>
      <w:pPr>
        <w:pStyle w:val="BodyText"/>
        <w:spacing w:before="7"/>
        <w:rPr>
          <w:rFonts w:ascii="Arial"/>
          <w:b/>
        </w:rPr>
      </w:pPr>
    </w:p>
    <w:p>
      <w:pPr>
        <w:pStyle w:val="Heading4"/>
        <w:ind w:left="120"/>
      </w:pPr>
      <w:r>
        <w:rPr/>
        <w:t>Describe the restoration and revitalization needs of public housing units in the jurisdiction:</w:t>
      </w:r>
    </w:p>
    <w:p>
      <w:pPr>
        <w:pStyle w:val="BodyText"/>
        <w:spacing w:before="11"/>
        <w:rPr>
          <w:b/>
          <w:sz w:val="19"/>
        </w:rPr>
      </w:pPr>
    </w:p>
    <w:p>
      <w:pPr>
        <w:pStyle w:val="BodyText"/>
        <w:spacing w:line="276" w:lineRule="auto" w:before="1"/>
        <w:ind w:left="120" w:right="351"/>
      </w:pPr>
      <w:r>
        <w:rPr/>
        <w:t>Looking ahead, the BHA has several affordable housing projects in the pipeline. This includes the Kohr Community Flats, an adaptive reuse project that will provide 38 units by 2026, and a Community Land Trust initiative aiming to create 45 owner-occupied units by 2027. The Rev Dr Marvin Chandler Early Learning Center, set to open in late 2025, will include affordable housing alongside a childcare center. Additionally, all BHA units will be equipped with broadband as part of ongoing efforts to improve connectivity for residents.</w:t>
      </w:r>
    </w:p>
    <w:p>
      <w:pPr>
        <w:pStyle w:val="BodyText"/>
        <w:spacing w:before="4"/>
        <w:rPr>
          <w:sz w:val="16"/>
        </w:rPr>
      </w:pPr>
    </w:p>
    <w:p>
      <w:pPr>
        <w:pStyle w:val="BodyText"/>
        <w:ind w:left="120"/>
      </w:pPr>
      <w:r>
        <w:rPr/>
        <w:t>The BHA expects its final RAD renovations to be completed by October 2024.</w:t>
      </w:r>
    </w:p>
    <w:p>
      <w:pPr>
        <w:pStyle w:val="BodyText"/>
        <w:spacing w:before="9"/>
        <w:rPr>
          <w:sz w:val="19"/>
        </w:rPr>
      </w:pPr>
    </w:p>
    <w:p>
      <w:pPr>
        <w:pStyle w:val="Heading4"/>
        <w:spacing w:line="276" w:lineRule="auto"/>
        <w:ind w:left="120" w:right="436"/>
      </w:pPr>
      <w:r>
        <w:rPr/>
        <w:t>Describe the public housing agency's strategy for improving the living environment of low- and moderate-income families residing in public housing:</w:t>
      </w:r>
    </w:p>
    <w:p>
      <w:pPr>
        <w:pStyle w:val="BodyText"/>
        <w:spacing w:line="276" w:lineRule="auto" w:before="200"/>
        <w:ind w:left="120" w:right="158"/>
      </w:pPr>
      <w:r>
        <w:rPr/>
        <w:t>The BHA has implemented several strategies to improve the living environment for low- and moderate- income families residing in its properties, particularly through its transition to the Rental Assistance Demonstration (RAD) program. The RAD properties have undergone significant renovations, which have greatly improved the physical conditions of the housing. These renovations include updates to units, common areas, and the installation of new amenities. While the RAD units were upgraded in a number of ways, there are plans for ongoing repairs, such as the future replacement of gutters and other maintenance needs. These improvements are designed to ensure that the housing is safe, modern, and energy efficient.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spacing w:after="0"/>
        <w:rPr>
          <w:sz w:val="26"/>
        </w:rPr>
        <w:sectPr>
          <w:headerReference w:type="default" r:id="rId63"/>
          <w:footerReference w:type="default" r:id="rId64"/>
          <w:pgSz w:w="12240" w:h="15840"/>
          <w:pgMar w:header="0" w:footer="726" w:top="1420" w:bottom="920" w:left="1320" w:right="1340"/>
        </w:sectPr>
      </w:pPr>
    </w:p>
    <w:p>
      <w:pPr>
        <w:pStyle w:val="BodyText"/>
        <w:spacing w:before="56"/>
        <w:ind w:left="136" w:right="21" w:firstLine="99"/>
      </w:pPr>
      <w:r>
        <w:rPr/>
        <w:t>Consolidated Plan</w:t>
      </w:r>
    </w:p>
    <w:p>
      <w:pPr>
        <w:pStyle w:val="BodyText"/>
        <w:tabs>
          <w:tab w:pos="5538" w:val="right" w:leader="none"/>
        </w:tabs>
        <w:spacing w:before="56"/>
        <w:ind w:left="136"/>
      </w:pPr>
      <w:r>
        <w:rPr/>
        <w:br w:type="column"/>
      </w:r>
      <w:r>
        <w:rPr/>
        <w:t>BLOOMINGTON</w:t>
        <w:tab/>
        <w:t>75</w:t>
      </w:r>
    </w:p>
    <w:p>
      <w:pPr>
        <w:spacing w:after="0"/>
        <w:sectPr>
          <w:type w:val="continuous"/>
          <w:pgSz w:w="12240" w:h="15840"/>
          <w:pgMar w:top="1340" w:bottom="1520" w:left="1320" w:right="1340"/>
          <w:cols w:num="2" w:equalWidth="0">
            <w:col w:w="1448" w:space="2379"/>
            <w:col w:w="5753"/>
          </w:cols>
        </w:sectPr>
      </w:pPr>
    </w:p>
    <w:p>
      <w:pPr>
        <w:pStyle w:val="BodyText"/>
        <w:spacing w:before="2"/>
        <w:rPr>
          <w:sz w:val="38"/>
        </w:rPr>
      </w:pPr>
    </w:p>
    <w:p>
      <w:pPr>
        <w:pStyle w:val="Heading1"/>
        <w:ind w:left="120"/>
      </w:pPr>
      <w:r>
        <w:rPr>
          <w:color w:val="0E4661"/>
        </w:rPr>
        <w:t>MA-30 Homeless Facilities and Services – 91.210(c)</w:t>
      </w:r>
    </w:p>
    <w:p>
      <w:pPr>
        <w:pStyle w:val="Heading4"/>
        <w:spacing w:before="137"/>
        <w:ind w:left="120"/>
      </w:pPr>
      <w:r>
        <w:rPr/>
        <w:t>Introduction</w:t>
      </w:r>
    </w:p>
    <w:p>
      <w:pPr>
        <w:spacing w:before="156"/>
        <w:ind w:left="120" w:right="0" w:firstLine="0"/>
        <w:jc w:val="left"/>
        <w:rPr>
          <w:b/>
          <w:sz w:val="24"/>
        </w:rPr>
      </w:pPr>
      <w:r>
        <w:rPr>
          <w:b/>
          <w:sz w:val="24"/>
        </w:rPr>
        <w:t>Facilities and Housing Targeted to Homeless Households</w:t>
      </w:r>
    </w:p>
    <w:p>
      <w:pPr>
        <w:pStyle w:val="BodyText"/>
        <w:spacing w:before="7"/>
        <w:rPr>
          <w:b/>
          <w:sz w:val="19"/>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48"/>
        <w:gridCol w:w="2132"/>
        <w:gridCol w:w="1961"/>
        <w:gridCol w:w="1796"/>
        <w:gridCol w:w="1781"/>
        <w:gridCol w:w="1732"/>
      </w:tblGrid>
      <w:tr>
        <w:trPr>
          <w:trHeight w:val="532" w:hRule="atLeast"/>
        </w:trPr>
        <w:tc>
          <w:tcPr>
            <w:tcW w:w="3548" w:type="dxa"/>
            <w:vMerge w:val="restart"/>
          </w:tcPr>
          <w:p>
            <w:pPr>
              <w:pStyle w:val="TableParagraph"/>
              <w:rPr>
                <w:rFonts w:ascii="Times New Roman"/>
                <w:sz w:val="22"/>
              </w:rPr>
            </w:pPr>
          </w:p>
        </w:tc>
        <w:tc>
          <w:tcPr>
            <w:tcW w:w="4093" w:type="dxa"/>
            <w:gridSpan w:val="2"/>
          </w:tcPr>
          <w:p>
            <w:pPr>
              <w:pStyle w:val="TableParagraph"/>
              <w:spacing w:before="1"/>
              <w:ind w:left="945"/>
              <w:rPr>
                <w:b/>
                <w:sz w:val="22"/>
              </w:rPr>
            </w:pPr>
            <w:r>
              <w:rPr>
                <w:b/>
                <w:sz w:val="22"/>
              </w:rPr>
              <w:t>Emergency Shelter Beds</w:t>
            </w:r>
          </w:p>
        </w:tc>
        <w:tc>
          <w:tcPr>
            <w:tcW w:w="1796" w:type="dxa"/>
          </w:tcPr>
          <w:p>
            <w:pPr>
              <w:pStyle w:val="TableParagraph"/>
              <w:spacing w:line="270" w:lineRule="atLeast"/>
              <w:ind w:left="281" w:right="251" w:firstLine="72"/>
              <w:rPr>
                <w:b/>
                <w:sz w:val="22"/>
              </w:rPr>
            </w:pPr>
            <w:r>
              <w:rPr>
                <w:b/>
                <w:sz w:val="22"/>
              </w:rPr>
              <w:t>Transitional Housing Beds</w:t>
            </w:r>
          </w:p>
        </w:tc>
        <w:tc>
          <w:tcPr>
            <w:tcW w:w="3513" w:type="dxa"/>
            <w:gridSpan w:val="2"/>
          </w:tcPr>
          <w:p>
            <w:pPr>
              <w:pStyle w:val="TableParagraph"/>
              <w:spacing w:line="270" w:lineRule="atLeast"/>
              <w:ind w:left="1534" w:right="296" w:hanging="1208"/>
              <w:rPr>
                <w:b/>
                <w:sz w:val="22"/>
              </w:rPr>
            </w:pPr>
            <w:r>
              <w:rPr>
                <w:b/>
                <w:sz w:val="22"/>
              </w:rPr>
              <w:t>Permanent Supportive Housing Beds</w:t>
            </w:r>
          </w:p>
        </w:tc>
      </w:tr>
      <w:tr>
        <w:trPr>
          <w:trHeight w:val="792" w:hRule="atLeast"/>
        </w:trPr>
        <w:tc>
          <w:tcPr>
            <w:tcW w:w="3548" w:type="dxa"/>
            <w:vMerge/>
            <w:tcBorders>
              <w:top w:val="nil"/>
            </w:tcBorders>
          </w:tcPr>
          <w:p>
            <w:pPr>
              <w:rPr>
                <w:sz w:val="2"/>
                <w:szCs w:val="2"/>
              </w:rPr>
            </w:pPr>
          </w:p>
        </w:tc>
        <w:tc>
          <w:tcPr>
            <w:tcW w:w="2132" w:type="dxa"/>
          </w:tcPr>
          <w:p>
            <w:pPr>
              <w:pStyle w:val="TableParagraph"/>
              <w:ind w:left="309" w:right="261" w:hanging="21"/>
              <w:rPr>
                <w:b/>
                <w:sz w:val="22"/>
              </w:rPr>
            </w:pPr>
            <w:r>
              <w:rPr>
                <w:b/>
                <w:sz w:val="22"/>
              </w:rPr>
              <w:t>Year Round Beds (Current &amp; New)</w:t>
            </w:r>
          </w:p>
        </w:tc>
        <w:tc>
          <w:tcPr>
            <w:tcW w:w="1961" w:type="dxa"/>
          </w:tcPr>
          <w:p>
            <w:pPr>
              <w:pStyle w:val="TableParagraph"/>
              <w:ind w:left="288" w:right="276"/>
              <w:jc w:val="center"/>
              <w:rPr>
                <w:b/>
                <w:sz w:val="22"/>
              </w:rPr>
            </w:pPr>
            <w:r>
              <w:rPr>
                <w:b/>
                <w:sz w:val="22"/>
              </w:rPr>
              <w:t>Voucher / Seasonal /</w:t>
            </w:r>
          </w:p>
          <w:p>
            <w:pPr>
              <w:pStyle w:val="TableParagraph"/>
              <w:spacing w:line="242" w:lineRule="exact"/>
              <w:ind w:left="288" w:right="279"/>
              <w:jc w:val="center"/>
              <w:rPr>
                <w:b/>
                <w:sz w:val="22"/>
              </w:rPr>
            </w:pPr>
            <w:r>
              <w:rPr>
                <w:b/>
                <w:sz w:val="22"/>
              </w:rPr>
              <w:t>Overflow Beds</w:t>
            </w:r>
          </w:p>
        </w:tc>
        <w:tc>
          <w:tcPr>
            <w:tcW w:w="1796" w:type="dxa"/>
          </w:tcPr>
          <w:p>
            <w:pPr>
              <w:pStyle w:val="TableParagraph"/>
              <w:spacing w:line="262" w:lineRule="exact"/>
              <w:ind w:left="210"/>
              <w:rPr>
                <w:b/>
                <w:sz w:val="22"/>
              </w:rPr>
            </w:pPr>
            <w:r>
              <w:rPr>
                <w:b/>
                <w:sz w:val="22"/>
              </w:rPr>
              <w:t>Current &amp; New</w:t>
            </w:r>
          </w:p>
        </w:tc>
        <w:tc>
          <w:tcPr>
            <w:tcW w:w="1781" w:type="dxa"/>
          </w:tcPr>
          <w:p>
            <w:pPr>
              <w:pStyle w:val="TableParagraph"/>
              <w:spacing w:line="262" w:lineRule="exact"/>
              <w:ind w:left="202"/>
              <w:rPr>
                <w:b/>
                <w:sz w:val="22"/>
              </w:rPr>
            </w:pPr>
            <w:r>
              <w:rPr>
                <w:b/>
                <w:sz w:val="22"/>
              </w:rPr>
              <w:t>Current &amp; New</w:t>
            </w:r>
          </w:p>
        </w:tc>
        <w:tc>
          <w:tcPr>
            <w:tcW w:w="1732" w:type="dxa"/>
          </w:tcPr>
          <w:p>
            <w:pPr>
              <w:pStyle w:val="TableParagraph"/>
              <w:ind w:left="244" w:right="214" w:firstLine="335"/>
              <w:rPr>
                <w:b/>
                <w:sz w:val="22"/>
              </w:rPr>
            </w:pPr>
            <w:r>
              <w:rPr>
                <w:b/>
                <w:sz w:val="22"/>
              </w:rPr>
              <w:t>Under Development</w:t>
            </w:r>
          </w:p>
        </w:tc>
      </w:tr>
      <w:tr>
        <w:trPr>
          <w:trHeight w:val="532" w:hRule="atLeast"/>
        </w:trPr>
        <w:tc>
          <w:tcPr>
            <w:tcW w:w="3548" w:type="dxa"/>
          </w:tcPr>
          <w:p>
            <w:pPr>
              <w:pStyle w:val="TableParagraph"/>
              <w:spacing w:line="270" w:lineRule="atLeast"/>
              <w:ind w:left="112" w:right="768"/>
              <w:rPr>
                <w:sz w:val="22"/>
              </w:rPr>
            </w:pPr>
            <w:r>
              <w:rPr>
                <w:sz w:val="22"/>
              </w:rPr>
              <w:t>Households with Adult(s) and Child(ren)</w:t>
            </w:r>
          </w:p>
        </w:tc>
        <w:tc>
          <w:tcPr>
            <w:tcW w:w="2132" w:type="dxa"/>
          </w:tcPr>
          <w:p>
            <w:pPr>
              <w:pStyle w:val="TableParagraph"/>
              <w:spacing w:before="1"/>
              <w:ind w:left="112"/>
              <w:rPr>
                <w:sz w:val="22"/>
              </w:rPr>
            </w:pPr>
            <w:r>
              <w:rPr>
                <w:sz w:val="22"/>
              </w:rPr>
              <w:t>40</w:t>
            </w:r>
          </w:p>
        </w:tc>
        <w:tc>
          <w:tcPr>
            <w:tcW w:w="1961" w:type="dxa"/>
          </w:tcPr>
          <w:p>
            <w:pPr>
              <w:pStyle w:val="TableParagraph"/>
              <w:spacing w:before="1"/>
              <w:ind w:left="112"/>
              <w:rPr>
                <w:sz w:val="22"/>
              </w:rPr>
            </w:pPr>
            <w:r>
              <w:rPr>
                <w:sz w:val="22"/>
              </w:rPr>
              <w:t>0</w:t>
            </w:r>
          </w:p>
        </w:tc>
        <w:tc>
          <w:tcPr>
            <w:tcW w:w="1796" w:type="dxa"/>
          </w:tcPr>
          <w:p>
            <w:pPr>
              <w:pStyle w:val="TableParagraph"/>
              <w:spacing w:before="1"/>
              <w:ind w:left="112"/>
              <w:rPr>
                <w:sz w:val="22"/>
              </w:rPr>
            </w:pPr>
            <w:r>
              <w:rPr>
                <w:sz w:val="22"/>
              </w:rPr>
              <w:t>89</w:t>
            </w:r>
          </w:p>
        </w:tc>
        <w:tc>
          <w:tcPr>
            <w:tcW w:w="1781" w:type="dxa"/>
          </w:tcPr>
          <w:p>
            <w:pPr>
              <w:pStyle w:val="TableParagraph"/>
              <w:spacing w:before="1"/>
              <w:ind w:left="112"/>
              <w:rPr>
                <w:sz w:val="22"/>
              </w:rPr>
            </w:pPr>
            <w:r>
              <w:rPr>
                <w:sz w:val="22"/>
              </w:rPr>
              <w:t>107</w:t>
            </w:r>
          </w:p>
        </w:tc>
        <w:tc>
          <w:tcPr>
            <w:tcW w:w="1732" w:type="dxa"/>
          </w:tcPr>
          <w:p>
            <w:pPr>
              <w:pStyle w:val="TableParagraph"/>
              <w:spacing w:before="1"/>
              <w:ind w:left="112"/>
              <w:rPr>
                <w:sz w:val="22"/>
              </w:rPr>
            </w:pPr>
            <w:r>
              <w:rPr>
                <w:sz w:val="22"/>
              </w:rPr>
              <w:t>0</w:t>
            </w:r>
          </w:p>
        </w:tc>
      </w:tr>
      <w:tr>
        <w:trPr>
          <w:trHeight w:val="255" w:hRule="atLeast"/>
        </w:trPr>
        <w:tc>
          <w:tcPr>
            <w:tcW w:w="3548" w:type="dxa"/>
          </w:tcPr>
          <w:p>
            <w:pPr>
              <w:pStyle w:val="TableParagraph"/>
              <w:spacing w:line="236" w:lineRule="exact"/>
              <w:ind w:left="112"/>
              <w:rPr>
                <w:sz w:val="22"/>
              </w:rPr>
            </w:pPr>
            <w:r>
              <w:rPr>
                <w:sz w:val="22"/>
              </w:rPr>
              <w:t>Households with Only Adults</w:t>
            </w:r>
          </w:p>
        </w:tc>
        <w:tc>
          <w:tcPr>
            <w:tcW w:w="2132" w:type="dxa"/>
          </w:tcPr>
          <w:p>
            <w:pPr>
              <w:pStyle w:val="TableParagraph"/>
              <w:spacing w:line="236" w:lineRule="exact"/>
              <w:ind w:left="112"/>
              <w:rPr>
                <w:sz w:val="22"/>
              </w:rPr>
            </w:pPr>
            <w:r>
              <w:rPr>
                <w:sz w:val="22"/>
              </w:rPr>
              <w:t>213</w:t>
            </w:r>
          </w:p>
        </w:tc>
        <w:tc>
          <w:tcPr>
            <w:tcW w:w="1961" w:type="dxa"/>
          </w:tcPr>
          <w:p>
            <w:pPr>
              <w:pStyle w:val="TableParagraph"/>
              <w:spacing w:line="236" w:lineRule="exact"/>
              <w:ind w:left="112"/>
              <w:rPr>
                <w:sz w:val="22"/>
              </w:rPr>
            </w:pPr>
            <w:r>
              <w:rPr>
                <w:sz w:val="22"/>
              </w:rPr>
              <w:t>0</w:t>
            </w:r>
          </w:p>
        </w:tc>
        <w:tc>
          <w:tcPr>
            <w:tcW w:w="1796" w:type="dxa"/>
          </w:tcPr>
          <w:p>
            <w:pPr>
              <w:pStyle w:val="TableParagraph"/>
              <w:spacing w:line="236" w:lineRule="exact"/>
              <w:ind w:left="112"/>
              <w:rPr>
                <w:sz w:val="22"/>
              </w:rPr>
            </w:pPr>
            <w:r>
              <w:rPr>
                <w:sz w:val="22"/>
              </w:rPr>
              <w:t>0</w:t>
            </w:r>
          </w:p>
        </w:tc>
        <w:tc>
          <w:tcPr>
            <w:tcW w:w="1781" w:type="dxa"/>
          </w:tcPr>
          <w:p>
            <w:pPr>
              <w:pStyle w:val="TableParagraph"/>
              <w:spacing w:line="236" w:lineRule="exact"/>
              <w:ind w:left="112"/>
              <w:rPr>
                <w:sz w:val="22"/>
              </w:rPr>
            </w:pPr>
            <w:r>
              <w:rPr>
                <w:sz w:val="22"/>
              </w:rPr>
              <w:t>236</w:t>
            </w:r>
          </w:p>
        </w:tc>
        <w:tc>
          <w:tcPr>
            <w:tcW w:w="1732" w:type="dxa"/>
          </w:tcPr>
          <w:p>
            <w:pPr>
              <w:pStyle w:val="TableParagraph"/>
              <w:spacing w:line="236" w:lineRule="exact"/>
              <w:ind w:left="112"/>
              <w:rPr>
                <w:sz w:val="22"/>
              </w:rPr>
            </w:pPr>
            <w:r>
              <w:rPr>
                <w:sz w:val="22"/>
              </w:rPr>
              <w:t>0</w:t>
            </w:r>
          </w:p>
        </w:tc>
      </w:tr>
      <w:tr>
        <w:trPr>
          <w:trHeight w:val="263" w:hRule="atLeast"/>
        </w:trPr>
        <w:tc>
          <w:tcPr>
            <w:tcW w:w="3548" w:type="dxa"/>
          </w:tcPr>
          <w:p>
            <w:pPr>
              <w:pStyle w:val="TableParagraph"/>
              <w:spacing w:line="242" w:lineRule="exact" w:before="1"/>
              <w:ind w:left="112"/>
              <w:rPr>
                <w:sz w:val="22"/>
              </w:rPr>
            </w:pPr>
            <w:r>
              <w:rPr>
                <w:sz w:val="22"/>
              </w:rPr>
              <w:t>Chronically Homeless Households</w:t>
            </w:r>
          </w:p>
        </w:tc>
        <w:tc>
          <w:tcPr>
            <w:tcW w:w="2132" w:type="dxa"/>
          </w:tcPr>
          <w:p>
            <w:pPr>
              <w:pStyle w:val="TableParagraph"/>
              <w:spacing w:line="242" w:lineRule="exact" w:before="1"/>
              <w:ind w:left="112"/>
              <w:rPr>
                <w:sz w:val="22"/>
              </w:rPr>
            </w:pPr>
            <w:r>
              <w:rPr>
                <w:sz w:val="22"/>
              </w:rPr>
              <w:t>0</w:t>
            </w:r>
          </w:p>
        </w:tc>
        <w:tc>
          <w:tcPr>
            <w:tcW w:w="1961" w:type="dxa"/>
          </w:tcPr>
          <w:p>
            <w:pPr>
              <w:pStyle w:val="TableParagraph"/>
              <w:spacing w:line="242" w:lineRule="exact" w:before="1"/>
              <w:ind w:left="112"/>
              <w:rPr>
                <w:sz w:val="22"/>
              </w:rPr>
            </w:pPr>
            <w:r>
              <w:rPr>
                <w:sz w:val="22"/>
              </w:rPr>
              <w:t>0</w:t>
            </w:r>
          </w:p>
        </w:tc>
        <w:tc>
          <w:tcPr>
            <w:tcW w:w="1796" w:type="dxa"/>
          </w:tcPr>
          <w:p>
            <w:pPr>
              <w:pStyle w:val="TableParagraph"/>
              <w:spacing w:line="242" w:lineRule="exact" w:before="1"/>
              <w:ind w:left="112"/>
              <w:rPr>
                <w:sz w:val="22"/>
              </w:rPr>
            </w:pPr>
            <w:r>
              <w:rPr>
                <w:sz w:val="22"/>
              </w:rPr>
              <w:t>0</w:t>
            </w:r>
          </w:p>
        </w:tc>
        <w:tc>
          <w:tcPr>
            <w:tcW w:w="1781" w:type="dxa"/>
          </w:tcPr>
          <w:p>
            <w:pPr>
              <w:pStyle w:val="TableParagraph"/>
              <w:spacing w:line="242" w:lineRule="exact" w:before="1"/>
              <w:ind w:left="112"/>
              <w:rPr>
                <w:sz w:val="22"/>
              </w:rPr>
            </w:pPr>
            <w:r>
              <w:rPr>
                <w:sz w:val="22"/>
              </w:rPr>
              <w:t>0</w:t>
            </w:r>
          </w:p>
        </w:tc>
        <w:tc>
          <w:tcPr>
            <w:tcW w:w="1732" w:type="dxa"/>
          </w:tcPr>
          <w:p>
            <w:pPr>
              <w:pStyle w:val="TableParagraph"/>
              <w:spacing w:line="242" w:lineRule="exact" w:before="1"/>
              <w:ind w:left="112"/>
              <w:rPr>
                <w:sz w:val="22"/>
              </w:rPr>
            </w:pPr>
            <w:r>
              <w:rPr>
                <w:sz w:val="22"/>
              </w:rPr>
              <w:t>0</w:t>
            </w:r>
          </w:p>
        </w:tc>
      </w:tr>
      <w:tr>
        <w:trPr>
          <w:trHeight w:val="263" w:hRule="atLeast"/>
        </w:trPr>
        <w:tc>
          <w:tcPr>
            <w:tcW w:w="3548" w:type="dxa"/>
          </w:tcPr>
          <w:p>
            <w:pPr>
              <w:pStyle w:val="TableParagraph"/>
              <w:spacing w:line="242" w:lineRule="exact" w:before="1"/>
              <w:ind w:left="112"/>
              <w:rPr>
                <w:sz w:val="22"/>
              </w:rPr>
            </w:pPr>
            <w:r>
              <w:rPr>
                <w:sz w:val="22"/>
              </w:rPr>
              <w:t>Veterans</w:t>
            </w:r>
          </w:p>
        </w:tc>
        <w:tc>
          <w:tcPr>
            <w:tcW w:w="2132" w:type="dxa"/>
          </w:tcPr>
          <w:p>
            <w:pPr>
              <w:pStyle w:val="TableParagraph"/>
              <w:spacing w:line="242" w:lineRule="exact" w:before="1"/>
              <w:ind w:left="112"/>
              <w:rPr>
                <w:sz w:val="22"/>
              </w:rPr>
            </w:pPr>
            <w:r>
              <w:rPr>
                <w:sz w:val="22"/>
              </w:rPr>
              <w:t>1</w:t>
            </w:r>
          </w:p>
        </w:tc>
        <w:tc>
          <w:tcPr>
            <w:tcW w:w="1961" w:type="dxa"/>
          </w:tcPr>
          <w:p>
            <w:pPr>
              <w:pStyle w:val="TableParagraph"/>
              <w:spacing w:line="242" w:lineRule="exact" w:before="1"/>
              <w:ind w:left="112"/>
              <w:rPr>
                <w:sz w:val="22"/>
              </w:rPr>
            </w:pPr>
            <w:r>
              <w:rPr>
                <w:sz w:val="22"/>
              </w:rPr>
              <w:t>0</w:t>
            </w:r>
          </w:p>
        </w:tc>
        <w:tc>
          <w:tcPr>
            <w:tcW w:w="1796" w:type="dxa"/>
          </w:tcPr>
          <w:p>
            <w:pPr>
              <w:pStyle w:val="TableParagraph"/>
              <w:spacing w:line="242" w:lineRule="exact" w:before="1"/>
              <w:ind w:left="112"/>
              <w:rPr>
                <w:sz w:val="22"/>
              </w:rPr>
            </w:pPr>
            <w:r>
              <w:rPr>
                <w:sz w:val="22"/>
              </w:rPr>
              <w:t>0</w:t>
            </w:r>
          </w:p>
        </w:tc>
        <w:tc>
          <w:tcPr>
            <w:tcW w:w="1781" w:type="dxa"/>
          </w:tcPr>
          <w:p>
            <w:pPr>
              <w:pStyle w:val="TableParagraph"/>
              <w:spacing w:line="242" w:lineRule="exact" w:before="1"/>
              <w:ind w:left="112"/>
              <w:rPr>
                <w:sz w:val="22"/>
              </w:rPr>
            </w:pPr>
            <w:r>
              <w:rPr>
                <w:sz w:val="22"/>
              </w:rPr>
              <w:t>20</w:t>
            </w:r>
          </w:p>
        </w:tc>
        <w:tc>
          <w:tcPr>
            <w:tcW w:w="1732" w:type="dxa"/>
          </w:tcPr>
          <w:p>
            <w:pPr>
              <w:pStyle w:val="TableParagraph"/>
              <w:spacing w:line="242" w:lineRule="exact" w:before="1"/>
              <w:ind w:left="112"/>
              <w:rPr>
                <w:sz w:val="22"/>
              </w:rPr>
            </w:pPr>
            <w:r>
              <w:rPr>
                <w:sz w:val="22"/>
              </w:rPr>
              <w:t>0</w:t>
            </w:r>
          </w:p>
        </w:tc>
      </w:tr>
      <w:tr>
        <w:trPr>
          <w:trHeight w:val="263" w:hRule="atLeast"/>
        </w:trPr>
        <w:tc>
          <w:tcPr>
            <w:tcW w:w="3548" w:type="dxa"/>
          </w:tcPr>
          <w:p>
            <w:pPr>
              <w:pStyle w:val="TableParagraph"/>
              <w:spacing w:line="242" w:lineRule="exact" w:before="1"/>
              <w:ind w:left="112"/>
              <w:rPr>
                <w:sz w:val="22"/>
              </w:rPr>
            </w:pPr>
            <w:r>
              <w:rPr>
                <w:sz w:val="22"/>
              </w:rPr>
              <w:t>Unaccompanied Youth</w:t>
            </w:r>
          </w:p>
        </w:tc>
        <w:tc>
          <w:tcPr>
            <w:tcW w:w="2132" w:type="dxa"/>
          </w:tcPr>
          <w:p>
            <w:pPr>
              <w:pStyle w:val="TableParagraph"/>
              <w:spacing w:line="242" w:lineRule="exact" w:before="1"/>
              <w:ind w:left="112"/>
              <w:rPr>
                <w:sz w:val="22"/>
              </w:rPr>
            </w:pPr>
            <w:r>
              <w:rPr>
                <w:sz w:val="22"/>
              </w:rPr>
              <w:t>15</w:t>
            </w:r>
          </w:p>
        </w:tc>
        <w:tc>
          <w:tcPr>
            <w:tcW w:w="1961" w:type="dxa"/>
          </w:tcPr>
          <w:p>
            <w:pPr>
              <w:pStyle w:val="TableParagraph"/>
              <w:spacing w:line="242" w:lineRule="exact" w:before="1"/>
              <w:ind w:left="112"/>
              <w:rPr>
                <w:sz w:val="22"/>
              </w:rPr>
            </w:pPr>
            <w:r>
              <w:rPr>
                <w:sz w:val="22"/>
              </w:rPr>
              <w:t>0</w:t>
            </w:r>
          </w:p>
        </w:tc>
        <w:tc>
          <w:tcPr>
            <w:tcW w:w="1796" w:type="dxa"/>
          </w:tcPr>
          <w:p>
            <w:pPr>
              <w:pStyle w:val="TableParagraph"/>
              <w:spacing w:line="242" w:lineRule="exact" w:before="1"/>
              <w:ind w:left="112"/>
              <w:rPr>
                <w:sz w:val="22"/>
              </w:rPr>
            </w:pPr>
            <w:r>
              <w:rPr>
                <w:sz w:val="22"/>
              </w:rPr>
              <w:t>0</w:t>
            </w:r>
          </w:p>
        </w:tc>
        <w:tc>
          <w:tcPr>
            <w:tcW w:w="1781" w:type="dxa"/>
          </w:tcPr>
          <w:p>
            <w:pPr>
              <w:pStyle w:val="TableParagraph"/>
              <w:spacing w:line="242" w:lineRule="exact" w:before="1"/>
              <w:ind w:left="112"/>
              <w:rPr>
                <w:sz w:val="22"/>
              </w:rPr>
            </w:pPr>
            <w:r>
              <w:rPr>
                <w:sz w:val="22"/>
              </w:rPr>
              <w:t>0</w:t>
            </w:r>
          </w:p>
        </w:tc>
        <w:tc>
          <w:tcPr>
            <w:tcW w:w="1732" w:type="dxa"/>
          </w:tcPr>
          <w:p>
            <w:pPr>
              <w:pStyle w:val="TableParagraph"/>
              <w:spacing w:line="242" w:lineRule="exact" w:before="1"/>
              <w:ind w:left="112"/>
              <w:rPr>
                <w:sz w:val="22"/>
              </w:rPr>
            </w:pPr>
            <w:r>
              <w:rPr>
                <w:sz w:val="22"/>
              </w:rPr>
              <w:t>0</w:t>
            </w:r>
          </w:p>
        </w:tc>
      </w:tr>
    </w:tbl>
    <w:p>
      <w:pPr>
        <w:spacing w:before="0"/>
        <w:ind w:left="3357" w:right="3357" w:firstLine="0"/>
        <w:jc w:val="center"/>
        <w:rPr>
          <w:rFonts w:ascii="Arial"/>
          <w:b/>
          <w:sz w:val="20"/>
        </w:rPr>
      </w:pPr>
      <w:r>
        <w:rPr>
          <w:rFonts w:ascii="Arial"/>
          <w:b/>
          <w:sz w:val="20"/>
        </w:rPr>
        <w:t>Table 43 - Facilities and Housing Targeted to Homeless Households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tabs>
          <w:tab w:pos="5759" w:val="left" w:leader="none"/>
          <w:tab w:pos="11353" w:val="right" w:leader="none"/>
        </w:tabs>
        <w:spacing w:before="175"/>
        <w:ind w:left="1846"/>
      </w:pPr>
      <w:r>
        <w:rPr/>
        <w:t>Consolidated Plan</w:t>
        <w:tab/>
        <w:t>BLOOMINGTON</w:t>
        <w:tab/>
        <w:t>76</w:t>
      </w:r>
    </w:p>
    <w:p>
      <w:pPr>
        <w:spacing w:after="0"/>
        <w:sectPr>
          <w:headerReference w:type="default" r:id="rId65"/>
          <w:footerReference w:type="default" r:id="rId66"/>
          <w:pgSz w:w="15840" w:h="12240" w:orient="landscape"/>
          <w:pgMar w:header="0" w:footer="726" w:top="1140" w:bottom="920" w:left="1320" w:right="1320"/>
        </w:sectPr>
      </w:pPr>
    </w:p>
    <w:p>
      <w:pPr>
        <w:pStyle w:val="Heading4"/>
        <w:spacing w:line="204" w:lineRule="auto" w:before="58"/>
        <w:ind w:left="100" w:right="111"/>
      </w:pPr>
      <w:r>
        <w:rPr/>
        <w:t>Describe mainstream services, such as health, mental health, and employment services to the extent those services are use to complement services targeted to homeless persons</w:t>
      </w:r>
    </w:p>
    <w:p>
      <w:pPr>
        <w:spacing w:line="204" w:lineRule="auto" w:before="200"/>
        <w:ind w:left="100" w:right="166" w:firstLine="0"/>
        <w:jc w:val="left"/>
        <w:rPr>
          <w:b/>
          <w:sz w:val="24"/>
        </w:rPr>
      </w:pPr>
      <w:r>
        <w:rPr>
          <w:b/>
          <w:sz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pPr>
        <w:pStyle w:val="BodyText"/>
        <w:spacing w:before="166"/>
        <w:ind w:left="100"/>
      </w:pPr>
      <w:r>
        <w:rPr/>
        <w:t>Currently shelter capacity for single adults is:</w:t>
      </w:r>
    </w:p>
    <w:p>
      <w:pPr>
        <w:pStyle w:val="BodyText"/>
        <w:spacing w:before="8"/>
        <w:rPr>
          <w:sz w:val="19"/>
        </w:rPr>
      </w:pPr>
    </w:p>
    <w:p>
      <w:pPr>
        <w:pStyle w:val="BodyText"/>
        <w:spacing w:line="276" w:lineRule="auto"/>
        <w:ind w:left="100" w:right="128"/>
      </w:pPr>
      <w:r>
        <w:rPr/>
        <w:t>Friend’s Place has 40 beds for single adults and is usually full. Friend’s Place has a sobriety requirement, and pets are allowed. Since Wheeler Mission-Bloomington closed its women’s shelter in 2023, Friend’s Place has increased beds for women but at this time does not see a suﬃciently high demand to shift to a women-only shelter. Beacon’s new facility, to be completed by 2027, will have 50 emergency beds, some of which might be used to meet medical respite needs.</w:t>
      </w:r>
    </w:p>
    <w:p>
      <w:pPr>
        <w:pStyle w:val="BodyText"/>
        <w:spacing w:before="5"/>
        <w:rPr>
          <w:sz w:val="16"/>
        </w:rPr>
      </w:pPr>
    </w:p>
    <w:p>
      <w:pPr>
        <w:pStyle w:val="BodyText"/>
        <w:spacing w:line="276" w:lineRule="auto"/>
        <w:ind w:left="100" w:right="106"/>
      </w:pPr>
      <w:r>
        <w:rPr/>
        <w:t>Wheeler Mission-Bloomington has 80 beds and 24 overflow mats for men and always has available space. Wheeler offers low-barrier sheltering with unlimited length of stays during the winter season (Nov. 1-March 31). During the summer months (April 1-Oct. 31) the low-barrier shelter stay (no background checks, ID, income, or sobriety requirements, etc.) is limited to 20 days with extensions for those seeking case management services. Wheeler Mission is evaluating its winter low-barrier sheltering for future years.</w:t>
      </w:r>
    </w:p>
    <w:p>
      <w:pPr>
        <w:pStyle w:val="BodyText"/>
        <w:spacing w:before="4"/>
        <w:rPr>
          <w:sz w:val="16"/>
        </w:rPr>
      </w:pPr>
    </w:p>
    <w:p>
      <w:pPr>
        <w:pStyle w:val="BodyText"/>
        <w:spacing w:line="276" w:lineRule="auto" w:before="1"/>
        <w:ind w:left="100" w:right="668"/>
      </w:pPr>
      <w:r>
        <w:rPr/>
        <w:t>A volunteer initiative of the Bloomington Multi-Faith Alliance provides white ﬂag (severe weather) sheltering for up to 20 women and people with disabilities.</w:t>
      </w:r>
    </w:p>
    <w:p>
      <w:pPr>
        <w:pStyle w:val="BodyText"/>
        <w:spacing w:before="4"/>
        <w:rPr>
          <w:sz w:val="16"/>
        </w:rPr>
      </w:pPr>
    </w:p>
    <w:p>
      <w:pPr>
        <w:pStyle w:val="BodyText"/>
        <w:spacing w:line="276" w:lineRule="auto"/>
        <w:ind w:left="100" w:right="936"/>
      </w:pPr>
      <w:r>
        <w:rPr/>
        <w:t>According to the 2024 HIC, there are no dedicated beds for chronically homeless households or Veterans; however, there are 20 VASH vouchers through the Bloomington Housing Authority.</w:t>
      </w:r>
    </w:p>
    <w:p>
      <w:pPr>
        <w:spacing w:after="0" w:line="276" w:lineRule="auto"/>
        <w:sectPr>
          <w:headerReference w:type="default" r:id="rId67"/>
          <w:footerReference w:type="default" r:id="rId68"/>
          <w:pgSz w:w="12240" w:h="15840"/>
          <w:pgMar w:header="0" w:footer="1340" w:top="1420" w:bottom="1540" w:left="1340" w:right="1340"/>
          <w:pgNumType w:start="77"/>
        </w:sectPr>
      </w:pPr>
    </w:p>
    <w:p>
      <w:pPr>
        <w:pStyle w:val="Heading1"/>
        <w:spacing w:before="106"/>
        <w:ind w:left="100"/>
      </w:pPr>
      <w:r>
        <w:rPr>
          <w:color w:val="0E4661"/>
        </w:rPr>
        <w:t>MA-35 Special Needs Facilities and Services – 91.210(d)</w:t>
      </w:r>
    </w:p>
    <w:p>
      <w:pPr>
        <w:pStyle w:val="Heading4"/>
        <w:spacing w:before="137"/>
        <w:ind w:left="100"/>
      </w:pPr>
      <w:r>
        <w:rPr/>
        <w:t>Introduction</w:t>
      </w:r>
    </w:p>
    <w:p>
      <w:pPr>
        <w:pStyle w:val="BodyText"/>
        <w:spacing w:line="276" w:lineRule="auto" w:before="151"/>
        <w:ind w:left="100" w:right="659"/>
        <w:rPr>
          <w:rFonts w:ascii="Arial"/>
        </w:rPr>
      </w:pPr>
      <w:r>
        <w:rPr>
          <w:rFonts w:ascii="Arial"/>
        </w:rPr>
        <w:t>The following section describes the facilities and services available to persons with special needs.</w:t>
      </w:r>
    </w:p>
    <w:p>
      <w:pPr>
        <w:pStyle w:val="Heading4"/>
        <w:spacing w:before="205"/>
        <w:ind w:left="100" w:right="106"/>
      </w:pPr>
      <w:r>
        <w:rPr/>
        <w:t>Including the elderly, frail elderly, persons with disabilities (mental, physical, developmental), persons with alcohol or other drug addictions, persons with HIV/AIDS and their families, public housing residents and any other categories the jurisdiction may specify, and describe their supportive housing needs</w:t>
      </w:r>
    </w:p>
    <w:p>
      <w:pPr>
        <w:pStyle w:val="BodyText"/>
        <w:spacing w:line="276" w:lineRule="auto" w:before="199"/>
        <w:ind w:left="100" w:right="90"/>
      </w:pPr>
      <w:r>
        <w:rPr/>
        <w:t>Please refer to section NA-45 Non-Homeless Special Needs Assessment for information regarding special needs housing. Persons with special needs include the elderly and frail elderly, persons with severe mental illness, persons with developmental disabilities, persons with physical disabilities, persons with alcohol/other drug addictions. In addition, many persons with special needs also have very low incomes. Affordable, quality units for these populations are limited in the City, and stakeholders reported that persons with disabilities face financial challenges related to moving and deposits due to Medicaid limits and high housing costs in safe areas. The Retreat at Switchyard is slated for opening in 2025, and does include set-aside units for persons with disabilities. There is an overall shortage of accessible units in Bloomington, and many available units are either too expensive or do not accept Section 8 vouchers or other subsidy assistance. As the population ages, accessible housing and housing that is conducive to aging in place will be needed in the City.</w:t>
      </w:r>
    </w:p>
    <w:p>
      <w:pPr>
        <w:pStyle w:val="BodyText"/>
        <w:spacing w:before="5"/>
        <w:rPr>
          <w:sz w:val="16"/>
        </w:rPr>
      </w:pPr>
    </w:p>
    <w:p>
      <w:pPr>
        <w:pStyle w:val="Heading4"/>
        <w:spacing w:line="276" w:lineRule="auto"/>
        <w:ind w:left="100" w:right="736"/>
      </w:pPr>
      <w:r>
        <w:rPr/>
        <w:t>Describe programs for ensuring that persons returning from mental and physical health institutions receive appropriate supportive housing</w:t>
      </w:r>
    </w:p>
    <w:p>
      <w:pPr>
        <w:pStyle w:val="BodyText"/>
        <w:spacing w:line="276" w:lineRule="auto" w:before="200"/>
        <w:ind w:left="100" w:right="118"/>
      </w:pPr>
      <w:r>
        <w:rPr/>
        <w:t>Centerstone provides mental healthcare services in Bloomington including an outpatient services facility to address a wide variety of mental health needs along with two facilities dedicated to addiction recovery and counseling. As part of their services, Centerstone provides a wide variety of housing options depending on the level of need of the individual. Options include independent housing with support through case management; adult supported housing providing daily and social life skills trainings, healthcare, and social outings and activities; enhanced supportive housing with on-site staff for individuals needing more hands-on care; specialized homes and staffing for individuals with mobility, vision, or hearing impairments; and respite care for adults in crisis who need time away from their home environment but do not require hospitalization.</w:t>
      </w:r>
    </w:p>
    <w:p>
      <w:pPr>
        <w:pStyle w:val="BodyText"/>
        <w:spacing w:before="5"/>
        <w:rPr>
          <w:sz w:val="16"/>
        </w:rPr>
      </w:pPr>
    </w:p>
    <w:p>
      <w:pPr>
        <w:pStyle w:val="Heading4"/>
        <w:spacing w:line="276" w:lineRule="auto"/>
        <w:ind w:left="100" w:right="260"/>
      </w:pPr>
      <w:r>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pPr>
        <w:spacing w:after="0" w:line="276" w:lineRule="auto"/>
        <w:sectPr>
          <w:headerReference w:type="default" r:id="rId69"/>
          <w:footerReference w:type="default" r:id="rId70"/>
          <w:pgSz w:w="12240" w:h="15840"/>
          <w:pgMar w:header="0" w:footer="1340" w:top="1500" w:bottom="1540" w:left="1340" w:right="1340"/>
          <w:pgNumType w:start="78"/>
        </w:sectPr>
      </w:pPr>
    </w:p>
    <w:p>
      <w:pPr>
        <w:pStyle w:val="BodyText"/>
        <w:spacing w:line="276" w:lineRule="auto" w:before="44"/>
        <w:ind w:left="100" w:right="245"/>
      </w:pPr>
      <w:r>
        <w:rPr/>
        <w:t>In 2025, the City is providing resources to rehabilitate several group homes in the City, ensuring quality affordable housing for special needs populations.</w:t>
      </w:r>
    </w:p>
    <w:p>
      <w:pPr>
        <w:pStyle w:val="BodyText"/>
        <w:spacing w:before="2"/>
        <w:rPr>
          <w:sz w:val="19"/>
        </w:rPr>
      </w:pPr>
    </w:p>
    <w:p>
      <w:pPr>
        <w:pStyle w:val="Heading4"/>
        <w:spacing w:line="204" w:lineRule="auto"/>
        <w:ind w:left="100" w:right="490"/>
      </w:pPr>
      <w:r>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pPr>
        <w:pStyle w:val="BodyText"/>
        <w:spacing w:line="276" w:lineRule="auto" w:before="166"/>
        <w:ind w:left="100" w:right="245"/>
      </w:pPr>
      <w:r>
        <w:rPr/>
        <w:t>In 2025, the City is providing resources to rehabilitate several group homes in the City, ensuring quality affordable housing for special needs populations.</w:t>
      </w:r>
    </w:p>
    <w:p>
      <w:pPr>
        <w:spacing w:after="0" w:line="276" w:lineRule="auto"/>
        <w:sectPr>
          <w:headerReference w:type="default" r:id="rId71"/>
          <w:footerReference w:type="default" r:id="rId72"/>
          <w:pgSz w:w="12240" w:h="15840"/>
          <w:pgMar w:header="0" w:footer="1340" w:top="1400" w:bottom="1540" w:left="1340" w:right="1340"/>
          <w:pgNumType w:start="79"/>
        </w:sectPr>
      </w:pPr>
    </w:p>
    <w:p>
      <w:pPr>
        <w:pStyle w:val="BodyText"/>
        <w:rPr>
          <w:sz w:val="9"/>
        </w:rPr>
      </w:pPr>
    </w:p>
    <w:p>
      <w:pPr>
        <w:pStyle w:val="Heading1"/>
        <w:spacing w:before="36"/>
        <w:ind w:left="100"/>
      </w:pPr>
      <w:r>
        <w:rPr>
          <w:color w:val="0E4661"/>
        </w:rPr>
        <w:t>MA-40 Barriers to Affordable Housing – 91.210(e)</w:t>
      </w:r>
    </w:p>
    <w:p>
      <w:pPr>
        <w:pStyle w:val="Heading4"/>
        <w:spacing w:before="137"/>
        <w:ind w:left="100"/>
      </w:pPr>
      <w:r>
        <w:rPr/>
        <w:t>Negative Effects of Public Policies on Affordable Housing and Residential Investment</w:t>
      </w:r>
    </w:p>
    <w:p>
      <w:pPr>
        <w:pStyle w:val="BodyText"/>
        <w:spacing w:before="11"/>
        <w:rPr>
          <w:b/>
          <w:sz w:val="19"/>
        </w:rPr>
      </w:pPr>
    </w:p>
    <w:p>
      <w:pPr>
        <w:pStyle w:val="BodyText"/>
        <w:spacing w:line="276" w:lineRule="auto" w:before="1"/>
        <w:ind w:left="100" w:right="163"/>
      </w:pPr>
      <w:r>
        <w:rPr/>
        <w:t>Local zoning and land use policies often limit the development of affordable housing. Zoning codes that favor single-family homes or require minimum lot sizes can reduce the supply of land available for multifamily housing, particularly affordable housing. These policies may prevent higher-density developments or make it difficult to develop affordable housing in desirable neighborhoods. Such restrictions often lead to housing segregation, where low- and moderate-income families are pushed into less desirable areas with limited access to resources and opportunities. The City’s Unified Development Ordinance, while low risk relative to discriminatory provisions for housing for members of the protected classes, presents barriers for developers in that there are many requirements to meet that hinder/slow progress.</w:t>
      </w:r>
    </w:p>
    <w:p>
      <w:pPr>
        <w:pStyle w:val="BodyText"/>
        <w:spacing w:before="4"/>
        <w:rPr>
          <w:sz w:val="16"/>
        </w:rPr>
      </w:pPr>
    </w:p>
    <w:p>
      <w:pPr>
        <w:pStyle w:val="BodyText"/>
        <w:spacing w:line="276" w:lineRule="auto"/>
        <w:ind w:left="100" w:right="275"/>
      </w:pPr>
      <w:r>
        <w:rPr/>
        <w:t>The growing presence of short-term rental properties (e.g., Airbnb) has also contributed to the scarcity of affordable housing in some areas. These properties, often not subject to the same regulations as long-term rentals, compete with traditional rental units, driving up rents in high-demand areas. Non-</w:t>
      </w:r>
    </w:p>
    <w:p>
      <w:pPr>
        <w:pStyle w:val="BodyText"/>
        <w:spacing w:line="276" w:lineRule="auto"/>
        <w:ind w:left="100" w:right="145"/>
      </w:pPr>
      <w:r>
        <w:rPr/>
        <w:t>owner-occupied short-term rentals reduce the overall supply of rental housing, further complicating the housing market for low- and moderate-income families.</w:t>
      </w:r>
    </w:p>
    <w:p>
      <w:pPr>
        <w:pStyle w:val="BodyText"/>
        <w:spacing w:before="5"/>
        <w:rPr>
          <w:sz w:val="16"/>
        </w:rPr>
      </w:pPr>
    </w:p>
    <w:p>
      <w:pPr>
        <w:pStyle w:val="BodyText"/>
        <w:spacing w:line="276" w:lineRule="auto"/>
        <w:ind w:left="100" w:right="422"/>
      </w:pPr>
      <w:r>
        <w:rPr/>
        <w:t>Limited federal and state funding for affordable housing development and maintenance is another significant barrier. Housing programs like Low-Income Housing Tax Credits (LIHTC) and funding for Housing Trust Funds have faced cuts or have not kept pace with demand. Additionally, affordable housing projects often face higher development costs and regulatory hurdles that make them less attractive to private developers. Without sufficient funding, many affordable housing projects do not materialize.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spacing w:after="0"/>
        <w:sectPr>
          <w:headerReference w:type="default" r:id="rId73"/>
          <w:footerReference w:type="default" r:id="rId74"/>
          <w:pgSz w:w="12240" w:h="15840"/>
          <w:pgMar w:header="0" w:footer="726" w:top="1500" w:bottom="920" w:left="1340" w:right="1340"/>
        </w:sectPr>
      </w:pPr>
    </w:p>
    <w:p>
      <w:pPr>
        <w:pStyle w:val="BodyText"/>
        <w:spacing w:before="56"/>
        <w:ind w:left="116" w:right="21" w:firstLine="99"/>
      </w:pPr>
      <w:r>
        <w:rPr/>
        <w:t>Consolidated Plan</w:t>
      </w:r>
    </w:p>
    <w:p>
      <w:pPr>
        <w:pStyle w:val="BodyText"/>
        <w:tabs>
          <w:tab w:pos="5518" w:val="right" w:leader="none"/>
        </w:tabs>
        <w:spacing w:before="56"/>
        <w:ind w:left="116"/>
      </w:pPr>
      <w:r>
        <w:rPr/>
        <w:br w:type="column"/>
      </w:r>
      <w:r>
        <w:rPr/>
        <w:t>BLOOMINGTON</w:t>
        <w:tab/>
        <w:t>80</w:t>
      </w:r>
    </w:p>
    <w:p>
      <w:pPr>
        <w:spacing w:after="0"/>
        <w:sectPr>
          <w:type w:val="continuous"/>
          <w:pgSz w:w="12240" w:h="15840"/>
          <w:pgMar w:top="1340" w:bottom="1520" w:left="1340" w:right="1340"/>
          <w:cols w:num="2" w:equalWidth="0">
            <w:col w:w="1428" w:space="2399"/>
            <w:col w:w="5733"/>
          </w:cols>
        </w:sectPr>
      </w:pPr>
    </w:p>
    <w:p>
      <w:pPr>
        <w:pStyle w:val="BodyText"/>
        <w:spacing w:before="2"/>
        <w:rPr>
          <w:sz w:val="38"/>
        </w:rPr>
      </w:pPr>
    </w:p>
    <w:p>
      <w:pPr>
        <w:pStyle w:val="Heading1"/>
        <w:ind w:left="120"/>
      </w:pPr>
      <w:r>
        <w:rPr>
          <w:color w:val="0E4661"/>
        </w:rPr>
        <w:t>MA-45 Non-Housing Community Development Assets – 91.215 (f)</w:t>
      </w:r>
    </w:p>
    <w:p>
      <w:pPr>
        <w:pStyle w:val="Heading4"/>
        <w:spacing w:before="137"/>
        <w:ind w:left="120"/>
      </w:pPr>
      <w:r>
        <w:rPr/>
        <w:t>Introduction</w:t>
      </w:r>
    </w:p>
    <w:p>
      <w:pPr>
        <w:spacing w:line="439" w:lineRule="auto" w:before="156"/>
        <w:ind w:left="120" w:right="9018" w:firstLine="0"/>
        <w:jc w:val="left"/>
        <w:rPr>
          <w:b/>
          <w:sz w:val="24"/>
        </w:rPr>
      </w:pPr>
      <w:r>
        <w:rPr>
          <w:b/>
          <w:sz w:val="24"/>
        </w:rPr>
        <w:t>Economic Development Market Analysis Business Activity</w:t>
      </w: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85"/>
        <w:gridCol w:w="1472"/>
        <w:gridCol w:w="1473"/>
        <w:gridCol w:w="1473"/>
        <w:gridCol w:w="1473"/>
        <w:gridCol w:w="1473"/>
      </w:tblGrid>
      <w:tr>
        <w:trPr>
          <w:trHeight w:val="385" w:hRule="atLeast"/>
        </w:trPr>
        <w:tc>
          <w:tcPr>
            <w:tcW w:w="5585" w:type="dxa"/>
          </w:tcPr>
          <w:p>
            <w:pPr>
              <w:pStyle w:val="TableParagraph"/>
              <w:spacing w:line="193" w:lineRule="exact"/>
              <w:ind w:left="2155" w:right="2146"/>
              <w:jc w:val="center"/>
              <w:rPr>
                <w:b/>
                <w:sz w:val="16"/>
              </w:rPr>
            </w:pPr>
            <w:r>
              <w:rPr>
                <w:b/>
                <w:sz w:val="16"/>
              </w:rPr>
              <w:t>Business by Sector</w:t>
            </w:r>
          </w:p>
        </w:tc>
        <w:tc>
          <w:tcPr>
            <w:tcW w:w="1472" w:type="dxa"/>
          </w:tcPr>
          <w:p>
            <w:pPr>
              <w:pStyle w:val="TableParagraph"/>
              <w:spacing w:line="193" w:lineRule="exact"/>
              <w:ind w:left="374"/>
              <w:rPr>
                <w:b/>
                <w:sz w:val="16"/>
              </w:rPr>
            </w:pPr>
            <w:r>
              <w:rPr>
                <w:b/>
                <w:sz w:val="16"/>
              </w:rPr>
              <w:t>Number of</w:t>
            </w:r>
          </w:p>
          <w:p>
            <w:pPr>
              <w:pStyle w:val="TableParagraph"/>
              <w:spacing w:line="173" w:lineRule="exact"/>
              <w:ind w:left="450"/>
              <w:rPr>
                <w:b/>
                <w:sz w:val="16"/>
              </w:rPr>
            </w:pPr>
            <w:r>
              <w:rPr>
                <w:b/>
                <w:sz w:val="16"/>
              </w:rPr>
              <w:t>Workers</w:t>
            </w:r>
          </w:p>
        </w:tc>
        <w:tc>
          <w:tcPr>
            <w:tcW w:w="1473" w:type="dxa"/>
          </w:tcPr>
          <w:p>
            <w:pPr>
              <w:pStyle w:val="TableParagraph"/>
              <w:spacing w:line="193" w:lineRule="exact"/>
              <w:ind w:left="212"/>
              <w:rPr>
                <w:b/>
                <w:sz w:val="16"/>
              </w:rPr>
            </w:pPr>
            <w:r>
              <w:rPr>
                <w:b/>
                <w:sz w:val="16"/>
              </w:rPr>
              <w:t>Number of Jobs</w:t>
            </w:r>
          </w:p>
        </w:tc>
        <w:tc>
          <w:tcPr>
            <w:tcW w:w="1473" w:type="dxa"/>
          </w:tcPr>
          <w:p>
            <w:pPr>
              <w:pStyle w:val="TableParagraph"/>
              <w:spacing w:line="193" w:lineRule="exact"/>
              <w:ind w:left="137" w:right="127"/>
              <w:jc w:val="center"/>
              <w:rPr>
                <w:b/>
                <w:sz w:val="16"/>
              </w:rPr>
            </w:pPr>
            <w:r>
              <w:rPr>
                <w:b/>
                <w:sz w:val="16"/>
              </w:rPr>
              <w:t>Share of Workers</w:t>
            </w:r>
          </w:p>
          <w:p>
            <w:pPr>
              <w:pStyle w:val="TableParagraph"/>
              <w:spacing w:line="173" w:lineRule="exact"/>
              <w:ind w:left="10"/>
              <w:jc w:val="center"/>
              <w:rPr>
                <w:b/>
                <w:sz w:val="16"/>
              </w:rPr>
            </w:pPr>
            <w:r>
              <w:rPr>
                <w:b/>
                <w:sz w:val="16"/>
              </w:rPr>
              <w:t>%</w:t>
            </w:r>
          </w:p>
        </w:tc>
        <w:tc>
          <w:tcPr>
            <w:tcW w:w="1473" w:type="dxa"/>
          </w:tcPr>
          <w:p>
            <w:pPr>
              <w:pStyle w:val="TableParagraph"/>
              <w:spacing w:line="193" w:lineRule="exact"/>
              <w:ind w:left="137" w:right="127"/>
              <w:jc w:val="center"/>
              <w:rPr>
                <w:b/>
                <w:sz w:val="16"/>
              </w:rPr>
            </w:pPr>
            <w:r>
              <w:rPr>
                <w:b/>
                <w:sz w:val="16"/>
              </w:rPr>
              <w:t>Share of Jobs</w:t>
            </w:r>
          </w:p>
          <w:p>
            <w:pPr>
              <w:pStyle w:val="TableParagraph"/>
              <w:spacing w:line="173" w:lineRule="exact"/>
              <w:ind w:left="10"/>
              <w:jc w:val="center"/>
              <w:rPr>
                <w:b/>
                <w:sz w:val="16"/>
              </w:rPr>
            </w:pPr>
            <w:r>
              <w:rPr>
                <w:b/>
                <w:sz w:val="16"/>
              </w:rPr>
              <w:t>%</w:t>
            </w:r>
          </w:p>
        </w:tc>
        <w:tc>
          <w:tcPr>
            <w:tcW w:w="1473" w:type="dxa"/>
          </w:tcPr>
          <w:p>
            <w:pPr>
              <w:pStyle w:val="TableParagraph"/>
              <w:spacing w:line="193" w:lineRule="exact"/>
              <w:ind w:left="136" w:right="127"/>
              <w:jc w:val="center"/>
              <w:rPr>
                <w:b/>
                <w:sz w:val="16"/>
              </w:rPr>
            </w:pPr>
            <w:r>
              <w:rPr>
                <w:b/>
                <w:sz w:val="16"/>
              </w:rPr>
              <w:t>Jobs less workers</w:t>
            </w:r>
          </w:p>
          <w:p>
            <w:pPr>
              <w:pStyle w:val="TableParagraph"/>
              <w:spacing w:line="173" w:lineRule="exact"/>
              <w:ind w:left="9"/>
              <w:jc w:val="center"/>
              <w:rPr>
                <w:b/>
                <w:sz w:val="16"/>
              </w:rPr>
            </w:pPr>
            <w:r>
              <w:rPr>
                <w:b/>
                <w:sz w:val="16"/>
              </w:rPr>
              <w:t>%</w:t>
            </w:r>
          </w:p>
        </w:tc>
      </w:tr>
      <w:tr>
        <w:trPr>
          <w:trHeight w:val="503" w:hRule="atLeast"/>
        </w:trPr>
        <w:tc>
          <w:tcPr>
            <w:tcW w:w="5585" w:type="dxa"/>
          </w:tcPr>
          <w:p>
            <w:pPr>
              <w:pStyle w:val="TableParagraph"/>
              <w:spacing w:line="267" w:lineRule="exact"/>
              <w:ind w:left="112"/>
              <w:rPr>
                <w:sz w:val="22"/>
              </w:rPr>
            </w:pPr>
            <w:r>
              <w:rPr>
                <w:sz w:val="22"/>
              </w:rPr>
              <w:t>Agriculture, Mining, Oil &amp; Gas Extraction</w:t>
            </w:r>
          </w:p>
        </w:tc>
        <w:tc>
          <w:tcPr>
            <w:tcW w:w="1472" w:type="dxa"/>
          </w:tcPr>
          <w:p>
            <w:pPr>
              <w:pStyle w:val="TableParagraph"/>
              <w:spacing w:line="267" w:lineRule="exact"/>
              <w:ind w:right="100"/>
              <w:jc w:val="right"/>
              <w:rPr>
                <w:sz w:val="22"/>
              </w:rPr>
            </w:pPr>
            <w:r>
              <w:rPr>
                <w:sz w:val="22"/>
              </w:rPr>
              <w:t>98</w:t>
            </w:r>
          </w:p>
        </w:tc>
        <w:tc>
          <w:tcPr>
            <w:tcW w:w="1473" w:type="dxa"/>
          </w:tcPr>
          <w:p>
            <w:pPr>
              <w:pStyle w:val="TableParagraph"/>
              <w:spacing w:line="267" w:lineRule="exact"/>
              <w:ind w:right="100"/>
              <w:jc w:val="right"/>
              <w:rPr>
                <w:sz w:val="22"/>
              </w:rPr>
            </w:pPr>
            <w:r>
              <w:rPr>
                <w:sz w:val="22"/>
              </w:rPr>
              <w:t>57</w:t>
            </w:r>
          </w:p>
        </w:tc>
        <w:tc>
          <w:tcPr>
            <w:tcW w:w="1473" w:type="dxa"/>
          </w:tcPr>
          <w:p>
            <w:pPr>
              <w:pStyle w:val="TableParagraph"/>
              <w:spacing w:line="267" w:lineRule="exact"/>
              <w:ind w:right="100"/>
              <w:jc w:val="right"/>
              <w:rPr>
                <w:sz w:val="22"/>
              </w:rPr>
            </w:pPr>
            <w:r>
              <w:rPr>
                <w:sz w:val="22"/>
              </w:rPr>
              <w:t>1</w:t>
            </w:r>
          </w:p>
        </w:tc>
        <w:tc>
          <w:tcPr>
            <w:tcW w:w="1473" w:type="dxa"/>
          </w:tcPr>
          <w:p>
            <w:pPr>
              <w:pStyle w:val="TableParagraph"/>
              <w:spacing w:line="267" w:lineRule="exact"/>
              <w:ind w:right="100"/>
              <w:jc w:val="right"/>
              <w:rPr>
                <w:sz w:val="22"/>
              </w:rPr>
            </w:pPr>
            <w:r>
              <w:rPr>
                <w:sz w:val="22"/>
              </w:rPr>
              <w:t>0</w:t>
            </w:r>
          </w:p>
        </w:tc>
        <w:tc>
          <w:tcPr>
            <w:tcW w:w="1473" w:type="dxa"/>
          </w:tcPr>
          <w:p>
            <w:pPr>
              <w:pStyle w:val="TableParagraph"/>
              <w:spacing w:line="267" w:lineRule="exact"/>
              <w:ind w:right="100"/>
              <w:jc w:val="right"/>
              <w:rPr>
                <w:sz w:val="22"/>
              </w:rPr>
            </w:pPr>
            <w:r>
              <w:rPr>
                <w:sz w:val="22"/>
              </w:rPr>
              <w:t>0</w:t>
            </w:r>
          </w:p>
        </w:tc>
      </w:tr>
      <w:tr>
        <w:trPr>
          <w:trHeight w:val="503" w:hRule="atLeast"/>
        </w:trPr>
        <w:tc>
          <w:tcPr>
            <w:tcW w:w="5585" w:type="dxa"/>
          </w:tcPr>
          <w:p>
            <w:pPr>
              <w:pStyle w:val="TableParagraph"/>
              <w:spacing w:line="267" w:lineRule="exact"/>
              <w:ind w:left="112"/>
              <w:rPr>
                <w:sz w:val="22"/>
              </w:rPr>
            </w:pPr>
            <w:r>
              <w:rPr>
                <w:sz w:val="22"/>
              </w:rPr>
              <w:t>Arts, Entertainment, Accommodations</w:t>
            </w:r>
          </w:p>
        </w:tc>
        <w:tc>
          <w:tcPr>
            <w:tcW w:w="1472" w:type="dxa"/>
          </w:tcPr>
          <w:p>
            <w:pPr>
              <w:pStyle w:val="TableParagraph"/>
              <w:spacing w:line="267" w:lineRule="exact"/>
              <w:ind w:right="100"/>
              <w:jc w:val="right"/>
              <w:rPr>
                <w:sz w:val="22"/>
              </w:rPr>
            </w:pPr>
            <w:r>
              <w:rPr>
                <w:sz w:val="22"/>
              </w:rPr>
              <w:t>3,609</w:t>
            </w:r>
          </w:p>
        </w:tc>
        <w:tc>
          <w:tcPr>
            <w:tcW w:w="1473" w:type="dxa"/>
          </w:tcPr>
          <w:p>
            <w:pPr>
              <w:pStyle w:val="TableParagraph"/>
              <w:spacing w:line="267" w:lineRule="exact"/>
              <w:ind w:right="100"/>
              <w:jc w:val="right"/>
              <w:rPr>
                <w:sz w:val="22"/>
              </w:rPr>
            </w:pPr>
            <w:r>
              <w:rPr>
                <w:sz w:val="22"/>
              </w:rPr>
              <w:t>7,392</w:t>
            </w:r>
          </w:p>
        </w:tc>
        <w:tc>
          <w:tcPr>
            <w:tcW w:w="1473" w:type="dxa"/>
          </w:tcPr>
          <w:p>
            <w:pPr>
              <w:pStyle w:val="TableParagraph"/>
              <w:spacing w:line="267" w:lineRule="exact"/>
              <w:ind w:right="100"/>
              <w:jc w:val="right"/>
              <w:rPr>
                <w:sz w:val="22"/>
              </w:rPr>
            </w:pPr>
            <w:r>
              <w:rPr>
                <w:sz w:val="22"/>
              </w:rPr>
              <w:t>19</w:t>
            </w:r>
          </w:p>
        </w:tc>
        <w:tc>
          <w:tcPr>
            <w:tcW w:w="1473" w:type="dxa"/>
          </w:tcPr>
          <w:p>
            <w:pPr>
              <w:pStyle w:val="TableParagraph"/>
              <w:spacing w:line="267" w:lineRule="exact"/>
              <w:ind w:right="100"/>
              <w:jc w:val="right"/>
              <w:rPr>
                <w:sz w:val="22"/>
              </w:rPr>
            </w:pPr>
            <w:r>
              <w:rPr>
                <w:sz w:val="22"/>
              </w:rPr>
              <w:t>22</w:t>
            </w:r>
          </w:p>
        </w:tc>
        <w:tc>
          <w:tcPr>
            <w:tcW w:w="1473" w:type="dxa"/>
          </w:tcPr>
          <w:p>
            <w:pPr>
              <w:pStyle w:val="TableParagraph"/>
              <w:spacing w:line="267" w:lineRule="exact"/>
              <w:ind w:right="100"/>
              <w:jc w:val="right"/>
              <w:rPr>
                <w:sz w:val="22"/>
              </w:rPr>
            </w:pPr>
            <w:r>
              <w:rPr>
                <w:sz w:val="22"/>
              </w:rPr>
              <w:t>4</w:t>
            </w:r>
          </w:p>
        </w:tc>
      </w:tr>
      <w:tr>
        <w:trPr>
          <w:trHeight w:val="503" w:hRule="atLeast"/>
        </w:trPr>
        <w:tc>
          <w:tcPr>
            <w:tcW w:w="5585" w:type="dxa"/>
          </w:tcPr>
          <w:p>
            <w:pPr>
              <w:pStyle w:val="TableParagraph"/>
              <w:spacing w:line="267" w:lineRule="exact"/>
              <w:ind w:left="112"/>
              <w:rPr>
                <w:sz w:val="22"/>
              </w:rPr>
            </w:pPr>
            <w:r>
              <w:rPr>
                <w:sz w:val="22"/>
              </w:rPr>
              <w:t>Construction</w:t>
            </w:r>
          </w:p>
        </w:tc>
        <w:tc>
          <w:tcPr>
            <w:tcW w:w="1472" w:type="dxa"/>
          </w:tcPr>
          <w:p>
            <w:pPr>
              <w:pStyle w:val="TableParagraph"/>
              <w:spacing w:line="267" w:lineRule="exact"/>
              <w:ind w:right="100"/>
              <w:jc w:val="right"/>
              <w:rPr>
                <w:sz w:val="22"/>
              </w:rPr>
            </w:pPr>
            <w:r>
              <w:rPr>
                <w:sz w:val="22"/>
              </w:rPr>
              <w:t>707</w:t>
            </w:r>
          </w:p>
        </w:tc>
        <w:tc>
          <w:tcPr>
            <w:tcW w:w="1473" w:type="dxa"/>
          </w:tcPr>
          <w:p>
            <w:pPr>
              <w:pStyle w:val="TableParagraph"/>
              <w:spacing w:line="267" w:lineRule="exact"/>
              <w:ind w:right="100"/>
              <w:jc w:val="right"/>
              <w:rPr>
                <w:sz w:val="22"/>
              </w:rPr>
            </w:pPr>
            <w:r>
              <w:rPr>
                <w:sz w:val="22"/>
              </w:rPr>
              <w:t>1,249</w:t>
            </w:r>
          </w:p>
        </w:tc>
        <w:tc>
          <w:tcPr>
            <w:tcW w:w="1473" w:type="dxa"/>
          </w:tcPr>
          <w:p>
            <w:pPr>
              <w:pStyle w:val="TableParagraph"/>
              <w:spacing w:line="267" w:lineRule="exact"/>
              <w:ind w:right="100"/>
              <w:jc w:val="right"/>
              <w:rPr>
                <w:sz w:val="22"/>
              </w:rPr>
            </w:pPr>
            <w:r>
              <w:rPr>
                <w:sz w:val="22"/>
              </w:rPr>
              <w:t>4</w:t>
            </w:r>
          </w:p>
        </w:tc>
        <w:tc>
          <w:tcPr>
            <w:tcW w:w="1473" w:type="dxa"/>
          </w:tcPr>
          <w:p>
            <w:pPr>
              <w:pStyle w:val="TableParagraph"/>
              <w:spacing w:line="267" w:lineRule="exact"/>
              <w:ind w:right="100"/>
              <w:jc w:val="right"/>
              <w:rPr>
                <w:sz w:val="22"/>
              </w:rPr>
            </w:pPr>
            <w:r>
              <w:rPr>
                <w:sz w:val="22"/>
              </w:rPr>
              <w:t>4</w:t>
            </w:r>
          </w:p>
        </w:tc>
        <w:tc>
          <w:tcPr>
            <w:tcW w:w="1473" w:type="dxa"/>
          </w:tcPr>
          <w:p>
            <w:pPr>
              <w:pStyle w:val="TableParagraph"/>
              <w:spacing w:line="267" w:lineRule="exact"/>
              <w:ind w:right="100"/>
              <w:jc w:val="right"/>
              <w:rPr>
                <w:sz w:val="22"/>
              </w:rPr>
            </w:pPr>
            <w:r>
              <w:rPr>
                <w:sz w:val="22"/>
              </w:rPr>
              <w:t>0</w:t>
            </w:r>
          </w:p>
        </w:tc>
      </w:tr>
      <w:tr>
        <w:trPr>
          <w:trHeight w:val="503" w:hRule="atLeast"/>
        </w:trPr>
        <w:tc>
          <w:tcPr>
            <w:tcW w:w="5585" w:type="dxa"/>
          </w:tcPr>
          <w:p>
            <w:pPr>
              <w:pStyle w:val="TableParagraph"/>
              <w:spacing w:line="267" w:lineRule="exact"/>
              <w:ind w:left="112"/>
              <w:rPr>
                <w:sz w:val="22"/>
              </w:rPr>
            </w:pPr>
            <w:r>
              <w:rPr>
                <w:sz w:val="22"/>
              </w:rPr>
              <w:t>Education and Health Care Services</w:t>
            </w:r>
          </w:p>
        </w:tc>
        <w:tc>
          <w:tcPr>
            <w:tcW w:w="1472" w:type="dxa"/>
          </w:tcPr>
          <w:p>
            <w:pPr>
              <w:pStyle w:val="TableParagraph"/>
              <w:spacing w:line="267" w:lineRule="exact"/>
              <w:ind w:right="100"/>
              <w:jc w:val="right"/>
              <w:rPr>
                <w:sz w:val="22"/>
              </w:rPr>
            </w:pPr>
            <w:r>
              <w:rPr>
                <w:sz w:val="22"/>
              </w:rPr>
              <w:t>3,687</w:t>
            </w:r>
          </w:p>
        </w:tc>
        <w:tc>
          <w:tcPr>
            <w:tcW w:w="1473" w:type="dxa"/>
          </w:tcPr>
          <w:p>
            <w:pPr>
              <w:pStyle w:val="TableParagraph"/>
              <w:spacing w:line="267" w:lineRule="exact"/>
              <w:ind w:right="100"/>
              <w:jc w:val="right"/>
              <w:rPr>
                <w:sz w:val="22"/>
              </w:rPr>
            </w:pPr>
            <w:r>
              <w:rPr>
                <w:sz w:val="22"/>
              </w:rPr>
              <w:t>8,084</w:t>
            </w:r>
          </w:p>
        </w:tc>
        <w:tc>
          <w:tcPr>
            <w:tcW w:w="1473" w:type="dxa"/>
          </w:tcPr>
          <w:p>
            <w:pPr>
              <w:pStyle w:val="TableParagraph"/>
              <w:spacing w:line="267" w:lineRule="exact"/>
              <w:ind w:right="100"/>
              <w:jc w:val="right"/>
              <w:rPr>
                <w:sz w:val="22"/>
              </w:rPr>
            </w:pPr>
            <w:r>
              <w:rPr>
                <w:sz w:val="22"/>
              </w:rPr>
              <w:t>19</w:t>
            </w:r>
          </w:p>
        </w:tc>
        <w:tc>
          <w:tcPr>
            <w:tcW w:w="1473" w:type="dxa"/>
          </w:tcPr>
          <w:p>
            <w:pPr>
              <w:pStyle w:val="TableParagraph"/>
              <w:spacing w:line="267" w:lineRule="exact"/>
              <w:ind w:right="100"/>
              <w:jc w:val="right"/>
              <w:rPr>
                <w:sz w:val="22"/>
              </w:rPr>
            </w:pPr>
            <w:r>
              <w:rPr>
                <w:sz w:val="22"/>
              </w:rPr>
              <w:t>24</w:t>
            </w:r>
          </w:p>
        </w:tc>
        <w:tc>
          <w:tcPr>
            <w:tcW w:w="1473" w:type="dxa"/>
          </w:tcPr>
          <w:p>
            <w:pPr>
              <w:pStyle w:val="TableParagraph"/>
              <w:spacing w:line="267" w:lineRule="exact"/>
              <w:ind w:right="100"/>
              <w:jc w:val="right"/>
              <w:rPr>
                <w:sz w:val="22"/>
              </w:rPr>
            </w:pPr>
            <w:r>
              <w:rPr>
                <w:sz w:val="22"/>
              </w:rPr>
              <w:t>5</w:t>
            </w:r>
          </w:p>
        </w:tc>
      </w:tr>
      <w:tr>
        <w:trPr>
          <w:trHeight w:val="503" w:hRule="atLeast"/>
        </w:trPr>
        <w:tc>
          <w:tcPr>
            <w:tcW w:w="5585" w:type="dxa"/>
          </w:tcPr>
          <w:p>
            <w:pPr>
              <w:pStyle w:val="TableParagraph"/>
              <w:spacing w:line="267" w:lineRule="exact"/>
              <w:ind w:left="112"/>
              <w:rPr>
                <w:sz w:val="22"/>
              </w:rPr>
            </w:pPr>
            <w:r>
              <w:rPr>
                <w:sz w:val="22"/>
              </w:rPr>
              <w:t>Finance, Insurance, and Real Estate</w:t>
            </w:r>
          </w:p>
        </w:tc>
        <w:tc>
          <w:tcPr>
            <w:tcW w:w="1472" w:type="dxa"/>
          </w:tcPr>
          <w:p>
            <w:pPr>
              <w:pStyle w:val="TableParagraph"/>
              <w:spacing w:line="267" w:lineRule="exact"/>
              <w:ind w:right="100"/>
              <w:jc w:val="right"/>
              <w:rPr>
                <w:sz w:val="22"/>
              </w:rPr>
            </w:pPr>
            <w:r>
              <w:rPr>
                <w:sz w:val="22"/>
              </w:rPr>
              <w:t>1,017</w:t>
            </w:r>
          </w:p>
        </w:tc>
        <w:tc>
          <w:tcPr>
            <w:tcW w:w="1473" w:type="dxa"/>
          </w:tcPr>
          <w:p>
            <w:pPr>
              <w:pStyle w:val="TableParagraph"/>
              <w:spacing w:line="267" w:lineRule="exact"/>
              <w:ind w:right="100"/>
              <w:jc w:val="right"/>
              <w:rPr>
                <w:sz w:val="22"/>
              </w:rPr>
            </w:pPr>
            <w:r>
              <w:rPr>
                <w:sz w:val="22"/>
              </w:rPr>
              <w:t>1,925</w:t>
            </w:r>
          </w:p>
        </w:tc>
        <w:tc>
          <w:tcPr>
            <w:tcW w:w="1473" w:type="dxa"/>
          </w:tcPr>
          <w:p>
            <w:pPr>
              <w:pStyle w:val="TableParagraph"/>
              <w:spacing w:line="267" w:lineRule="exact"/>
              <w:ind w:right="100"/>
              <w:jc w:val="right"/>
              <w:rPr>
                <w:sz w:val="22"/>
              </w:rPr>
            </w:pPr>
            <w:r>
              <w:rPr>
                <w:sz w:val="22"/>
              </w:rPr>
              <w:t>5</w:t>
            </w:r>
          </w:p>
        </w:tc>
        <w:tc>
          <w:tcPr>
            <w:tcW w:w="1473" w:type="dxa"/>
          </w:tcPr>
          <w:p>
            <w:pPr>
              <w:pStyle w:val="TableParagraph"/>
              <w:spacing w:line="267" w:lineRule="exact"/>
              <w:ind w:right="100"/>
              <w:jc w:val="right"/>
              <w:rPr>
                <w:sz w:val="22"/>
              </w:rPr>
            </w:pPr>
            <w:r>
              <w:rPr>
                <w:sz w:val="22"/>
              </w:rPr>
              <w:t>6</w:t>
            </w:r>
          </w:p>
        </w:tc>
        <w:tc>
          <w:tcPr>
            <w:tcW w:w="1473" w:type="dxa"/>
          </w:tcPr>
          <w:p>
            <w:pPr>
              <w:pStyle w:val="TableParagraph"/>
              <w:spacing w:line="267" w:lineRule="exact"/>
              <w:ind w:right="100"/>
              <w:jc w:val="right"/>
              <w:rPr>
                <w:sz w:val="22"/>
              </w:rPr>
            </w:pPr>
            <w:r>
              <w:rPr>
                <w:sz w:val="22"/>
              </w:rPr>
              <w:t>1</w:t>
            </w:r>
          </w:p>
        </w:tc>
      </w:tr>
      <w:tr>
        <w:trPr>
          <w:trHeight w:val="503" w:hRule="atLeast"/>
        </w:trPr>
        <w:tc>
          <w:tcPr>
            <w:tcW w:w="5585" w:type="dxa"/>
          </w:tcPr>
          <w:p>
            <w:pPr>
              <w:pStyle w:val="TableParagraph"/>
              <w:spacing w:line="267" w:lineRule="exact"/>
              <w:ind w:left="112"/>
              <w:rPr>
                <w:sz w:val="22"/>
              </w:rPr>
            </w:pPr>
            <w:r>
              <w:rPr>
                <w:sz w:val="22"/>
              </w:rPr>
              <w:t>Information</w:t>
            </w:r>
          </w:p>
        </w:tc>
        <w:tc>
          <w:tcPr>
            <w:tcW w:w="1472" w:type="dxa"/>
          </w:tcPr>
          <w:p>
            <w:pPr>
              <w:pStyle w:val="TableParagraph"/>
              <w:spacing w:line="267" w:lineRule="exact"/>
              <w:ind w:right="100"/>
              <w:jc w:val="right"/>
              <w:rPr>
                <w:sz w:val="22"/>
              </w:rPr>
            </w:pPr>
            <w:r>
              <w:rPr>
                <w:sz w:val="22"/>
              </w:rPr>
              <w:t>314</w:t>
            </w:r>
          </w:p>
        </w:tc>
        <w:tc>
          <w:tcPr>
            <w:tcW w:w="1473" w:type="dxa"/>
          </w:tcPr>
          <w:p>
            <w:pPr>
              <w:pStyle w:val="TableParagraph"/>
              <w:spacing w:line="267" w:lineRule="exact"/>
              <w:ind w:right="100"/>
              <w:jc w:val="right"/>
              <w:rPr>
                <w:sz w:val="22"/>
              </w:rPr>
            </w:pPr>
            <w:r>
              <w:rPr>
                <w:sz w:val="22"/>
              </w:rPr>
              <w:t>749</w:t>
            </w:r>
          </w:p>
        </w:tc>
        <w:tc>
          <w:tcPr>
            <w:tcW w:w="1473" w:type="dxa"/>
          </w:tcPr>
          <w:p>
            <w:pPr>
              <w:pStyle w:val="TableParagraph"/>
              <w:spacing w:line="267" w:lineRule="exact"/>
              <w:ind w:right="100"/>
              <w:jc w:val="right"/>
              <w:rPr>
                <w:sz w:val="22"/>
              </w:rPr>
            </w:pPr>
            <w:r>
              <w:rPr>
                <w:sz w:val="22"/>
              </w:rPr>
              <w:t>2</w:t>
            </w:r>
          </w:p>
        </w:tc>
        <w:tc>
          <w:tcPr>
            <w:tcW w:w="1473" w:type="dxa"/>
          </w:tcPr>
          <w:p>
            <w:pPr>
              <w:pStyle w:val="TableParagraph"/>
              <w:spacing w:line="267" w:lineRule="exact"/>
              <w:ind w:right="100"/>
              <w:jc w:val="right"/>
              <w:rPr>
                <w:sz w:val="22"/>
              </w:rPr>
            </w:pPr>
            <w:r>
              <w:rPr>
                <w:sz w:val="22"/>
              </w:rPr>
              <w:t>2</w:t>
            </w:r>
          </w:p>
        </w:tc>
        <w:tc>
          <w:tcPr>
            <w:tcW w:w="1473" w:type="dxa"/>
          </w:tcPr>
          <w:p>
            <w:pPr>
              <w:pStyle w:val="TableParagraph"/>
              <w:spacing w:line="267" w:lineRule="exact"/>
              <w:ind w:right="100"/>
              <w:jc w:val="right"/>
              <w:rPr>
                <w:sz w:val="22"/>
              </w:rPr>
            </w:pPr>
            <w:r>
              <w:rPr>
                <w:sz w:val="22"/>
              </w:rPr>
              <w:t>1</w:t>
            </w:r>
          </w:p>
        </w:tc>
      </w:tr>
      <w:tr>
        <w:trPr>
          <w:trHeight w:val="503" w:hRule="atLeast"/>
        </w:trPr>
        <w:tc>
          <w:tcPr>
            <w:tcW w:w="5585" w:type="dxa"/>
          </w:tcPr>
          <w:p>
            <w:pPr>
              <w:pStyle w:val="TableParagraph"/>
              <w:spacing w:line="267" w:lineRule="exact"/>
              <w:ind w:left="112"/>
              <w:rPr>
                <w:sz w:val="22"/>
              </w:rPr>
            </w:pPr>
            <w:r>
              <w:rPr>
                <w:sz w:val="22"/>
              </w:rPr>
              <w:t>Manufacturing</w:t>
            </w:r>
          </w:p>
        </w:tc>
        <w:tc>
          <w:tcPr>
            <w:tcW w:w="1472" w:type="dxa"/>
          </w:tcPr>
          <w:p>
            <w:pPr>
              <w:pStyle w:val="TableParagraph"/>
              <w:spacing w:line="267" w:lineRule="exact"/>
              <w:ind w:right="100"/>
              <w:jc w:val="right"/>
              <w:rPr>
                <w:sz w:val="22"/>
              </w:rPr>
            </w:pPr>
            <w:r>
              <w:rPr>
                <w:sz w:val="22"/>
              </w:rPr>
              <w:t>2,190</w:t>
            </w:r>
          </w:p>
        </w:tc>
        <w:tc>
          <w:tcPr>
            <w:tcW w:w="1473" w:type="dxa"/>
          </w:tcPr>
          <w:p>
            <w:pPr>
              <w:pStyle w:val="TableParagraph"/>
              <w:spacing w:line="267" w:lineRule="exact"/>
              <w:ind w:right="100"/>
              <w:jc w:val="right"/>
              <w:rPr>
                <w:sz w:val="22"/>
              </w:rPr>
            </w:pPr>
            <w:r>
              <w:rPr>
                <w:sz w:val="22"/>
              </w:rPr>
              <w:t>1,852</w:t>
            </w:r>
          </w:p>
        </w:tc>
        <w:tc>
          <w:tcPr>
            <w:tcW w:w="1473" w:type="dxa"/>
          </w:tcPr>
          <w:p>
            <w:pPr>
              <w:pStyle w:val="TableParagraph"/>
              <w:spacing w:line="267" w:lineRule="exact"/>
              <w:ind w:right="100"/>
              <w:jc w:val="right"/>
              <w:rPr>
                <w:sz w:val="22"/>
              </w:rPr>
            </w:pPr>
            <w:r>
              <w:rPr>
                <w:sz w:val="22"/>
              </w:rPr>
              <w:t>11</w:t>
            </w:r>
          </w:p>
        </w:tc>
        <w:tc>
          <w:tcPr>
            <w:tcW w:w="1473" w:type="dxa"/>
          </w:tcPr>
          <w:p>
            <w:pPr>
              <w:pStyle w:val="TableParagraph"/>
              <w:spacing w:line="267" w:lineRule="exact"/>
              <w:ind w:right="100"/>
              <w:jc w:val="right"/>
              <w:rPr>
                <w:sz w:val="22"/>
              </w:rPr>
            </w:pPr>
            <w:r>
              <w:rPr>
                <w:sz w:val="22"/>
              </w:rPr>
              <w:t>6</w:t>
            </w:r>
          </w:p>
        </w:tc>
        <w:tc>
          <w:tcPr>
            <w:tcW w:w="1473" w:type="dxa"/>
          </w:tcPr>
          <w:p>
            <w:pPr>
              <w:pStyle w:val="TableParagraph"/>
              <w:spacing w:line="267" w:lineRule="exact"/>
              <w:ind w:right="100"/>
              <w:jc w:val="right"/>
              <w:rPr>
                <w:sz w:val="22"/>
              </w:rPr>
            </w:pPr>
            <w:r>
              <w:rPr>
                <w:sz w:val="22"/>
              </w:rPr>
              <w:t>-6</w:t>
            </w:r>
          </w:p>
        </w:tc>
      </w:tr>
      <w:tr>
        <w:trPr>
          <w:trHeight w:val="503" w:hRule="atLeast"/>
        </w:trPr>
        <w:tc>
          <w:tcPr>
            <w:tcW w:w="5585" w:type="dxa"/>
          </w:tcPr>
          <w:p>
            <w:pPr>
              <w:pStyle w:val="TableParagraph"/>
              <w:spacing w:line="267" w:lineRule="exact"/>
              <w:ind w:left="112"/>
              <w:rPr>
                <w:sz w:val="22"/>
              </w:rPr>
            </w:pPr>
            <w:r>
              <w:rPr>
                <w:sz w:val="22"/>
              </w:rPr>
              <w:t>Other Services</w:t>
            </w:r>
          </w:p>
        </w:tc>
        <w:tc>
          <w:tcPr>
            <w:tcW w:w="1472" w:type="dxa"/>
          </w:tcPr>
          <w:p>
            <w:pPr>
              <w:pStyle w:val="TableParagraph"/>
              <w:spacing w:line="267" w:lineRule="exact"/>
              <w:ind w:right="100"/>
              <w:jc w:val="right"/>
              <w:rPr>
                <w:sz w:val="22"/>
              </w:rPr>
            </w:pPr>
            <w:r>
              <w:rPr>
                <w:sz w:val="22"/>
              </w:rPr>
              <w:t>899</w:t>
            </w:r>
          </w:p>
        </w:tc>
        <w:tc>
          <w:tcPr>
            <w:tcW w:w="1473" w:type="dxa"/>
          </w:tcPr>
          <w:p>
            <w:pPr>
              <w:pStyle w:val="TableParagraph"/>
              <w:spacing w:line="267" w:lineRule="exact"/>
              <w:ind w:right="100"/>
              <w:jc w:val="right"/>
              <w:rPr>
                <w:sz w:val="22"/>
              </w:rPr>
            </w:pPr>
            <w:r>
              <w:rPr>
                <w:sz w:val="22"/>
              </w:rPr>
              <w:t>1,856</w:t>
            </w:r>
          </w:p>
        </w:tc>
        <w:tc>
          <w:tcPr>
            <w:tcW w:w="1473" w:type="dxa"/>
          </w:tcPr>
          <w:p>
            <w:pPr>
              <w:pStyle w:val="TableParagraph"/>
              <w:spacing w:line="267" w:lineRule="exact"/>
              <w:ind w:right="100"/>
              <w:jc w:val="right"/>
              <w:rPr>
                <w:sz w:val="22"/>
              </w:rPr>
            </w:pPr>
            <w:r>
              <w:rPr>
                <w:sz w:val="22"/>
              </w:rPr>
              <w:t>5</w:t>
            </w:r>
          </w:p>
        </w:tc>
        <w:tc>
          <w:tcPr>
            <w:tcW w:w="1473" w:type="dxa"/>
          </w:tcPr>
          <w:p>
            <w:pPr>
              <w:pStyle w:val="TableParagraph"/>
              <w:spacing w:line="267" w:lineRule="exact"/>
              <w:ind w:right="100"/>
              <w:jc w:val="right"/>
              <w:rPr>
                <w:sz w:val="22"/>
              </w:rPr>
            </w:pPr>
            <w:r>
              <w:rPr>
                <w:sz w:val="22"/>
              </w:rPr>
              <w:t>6</w:t>
            </w:r>
          </w:p>
        </w:tc>
        <w:tc>
          <w:tcPr>
            <w:tcW w:w="1473" w:type="dxa"/>
          </w:tcPr>
          <w:p>
            <w:pPr>
              <w:pStyle w:val="TableParagraph"/>
              <w:spacing w:line="267" w:lineRule="exact"/>
              <w:ind w:right="100"/>
              <w:jc w:val="right"/>
              <w:rPr>
                <w:sz w:val="22"/>
              </w:rPr>
            </w:pPr>
            <w:r>
              <w:rPr>
                <w:sz w:val="22"/>
              </w:rPr>
              <w:t>1</w:t>
            </w:r>
          </w:p>
        </w:tc>
      </w:tr>
      <w:tr>
        <w:trPr>
          <w:trHeight w:val="503" w:hRule="atLeast"/>
        </w:trPr>
        <w:tc>
          <w:tcPr>
            <w:tcW w:w="5585" w:type="dxa"/>
          </w:tcPr>
          <w:p>
            <w:pPr>
              <w:pStyle w:val="TableParagraph"/>
              <w:spacing w:line="267" w:lineRule="exact"/>
              <w:ind w:left="112"/>
              <w:rPr>
                <w:sz w:val="22"/>
              </w:rPr>
            </w:pPr>
            <w:r>
              <w:rPr>
                <w:sz w:val="22"/>
              </w:rPr>
              <w:t>Professional, Scientific, Management Services</w:t>
            </w:r>
          </w:p>
        </w:tc>
        <w:tc>
          <w:tcPr>
            <w:tcW w:w="1472" w:type="dxa"/>
          </w:tcPr>
          <w:p>
            <w:pPr>
              <w:pStyle w:val="TableParagraph"/>
              <w:spacing w:line="267" w:lineRule="exact"/>
              <w:ind w:right="100"/>
              <w:jc w:val="right"/>
              <w:rPr>
                <w:sz w:val="22"/>
              </w:rPr>
            </w:pPr>
            <w:r>
              <w:rPr>
                <w:sz w:val="22"/>
              </w:rPr>
              <w:t>1,371</w:t>
            </w:r>
          </w:p>
        </w:tc>
        <w:tc>
          <w:tcPr>
            <w:tcW w:w="1473" w:type="dxa"/>
          </w:tcPr>
          <w:p>
            <w:pPr>
              <w:pStyle w:val="TableParagraph"/>
              <w:spacing w:line="267" w:lineRule="exact"/>
              <w:ind w:right="100"/>
              <w:jc w:val="right"/>
              <w:rPr>
                <w:sz w:val="22"/>
              </w:rPr>
            </w:pPr>
            <w:r>
              <w:rPr>
                <w:sz w:val="22"/>
              </w:rPr>
              <w:t>2,216</w:t>
            </w:r>
          </w:p>
        </w:tc>
        <w:tc>
          <w:tcPr>
            <w:tcW w:w="1473" w:type="dxa"/>
          </w:tcPr>
          <w:p>
            <w:pPr>
              <w:pStyle w:val="TableParagraph"/>
              <w:spacing w:line="267" w:lineRule="exact"/>
              <w:ind w:right="100"/>
              <w:jc w:val="right"/>
              <w:rPr>
                <w:sz w:val="22"/>
              </w:rPr>
            </w:pPr>
            <w:r>
              <w:rPr>
                <w:sz w:val="22"/>
              </w:rPr>
              <w:t>7</w:t>
            </w:r>
          </w:p>
        </w:tc>
        <w:tc>
          <w:tcPr>
            <w:tcW w:w="1473" w:type="dxa"/>
          </w:tcPr>
          <w:p>
            <w:pPr>
              <w:pStyle w:val="TableParagraph"/>
              <w:spacing w:line="267" w:lineRule="exact"/>
              <w:ind w:right="100"/>
              <w:jc w:val="right"/>
              <w:rPr>
                <w:sz w:val="22"/>
              </w:rPr>
            </w:pPr>
            <w:r>
              <w:rPr>
                <w:sz w:val="22"/>
              </w:rPr>
              <w:t>7</w:t>
            </w:r>
          </w:p>
        </w:tc>
        <w:tc>
          <w:tcPr>
            <w:tcW w:w="1473" w:type="dxa"/>
          </w:tcPr>
          <w:p>
            <w:pPr>
              <w:pStyle w:val="TableParagraph"/>
              <w:spacing w:line="267" w:lineRule="exact"/>
              <w:ind w:right="100"/>
              <w:jc w:val="right"/>
              <w:rPr>
                <w:sz w:val="22"/>
              </w:rPr>
            </w:pPr>
            <w:r>
              <w:rPr>
                <w:sz w:val="22"/>
              </w:rPr>
              <w:t>0</w:t>
            </w:r>
          </w:p>
        </w:tc>
      </w:tr>
      <w:tr>
        <w:trPr>
          <w:trHeight w:val="503" w:hRule="atLeast"/>
        </w:trPr>
        <w:tc>
          <w:tcPr>
            <w:tcW w:w="5585" w:type="dxa"/>
          </w:tcPr>
          <w:p>
            <w:pPr>
              <w:pStyle w:val="TableParagraph"/>
              <w:spacing w:line="267" w:lineRule="exact"/>
              <w:ind w:left="112"/>
              <w:rPr>
                <w:sz w:val="22"/>
              </w:rPr>
            </w:pPr>
            <w:r>
              <w:rPr>
                <w:sz w:val="22"/>
              </w:rPr>
              <w:t>Public Administration</w:t>
            </w:r>
          </w:p>
        </w:tc>
        <w:tc>
          <w:tcPr>
            <w:tcW w:w="1472" w:type="dxa"/>
          </w:tcPr>
          <w:p>
            <w:pPr>
              <w:pStyle w:val="TableParagraph"/>
              <w:spacing w:line="267" w:lineRule="exact"/>
              <w:ind w:right="100"/>
              <w:jc w:val="right"/>
              <w:rPr>
                <w:sz w:val="22"/>
              </w:rPr>
            </w:pPr>
            <w:r>
              <w:rPr>
                <w:sz w:val="22"/>
              </w:rPr>
              <w:t>0</w:t>
            </w:r>
          </w:p>
        </w:tc>
        <w:tc>
          <w:tcPr>
            <w:tcW w:w="1473" w:type="dxa"/>
          </w:tcPr>
          <w:p>
            <w:pPr>
              <w:pStyle w:val="TableParagraph"/>
              <w:spacing w:line="267" w:lineRule="exact"/>
              <w:ind w:right="100"/>
              <w:jc w:val="right"/>
              <w:rPr>
                <w:sz w:val="22"/>
              </w:rPr>
            </w:pPr>
            <w:r>
              <w:rPr>
                <w:sz w:val="22"/>
              </w:rPr>
              <w:t>0</w:t>
            </w:r>
          </w:p>
        </w:tc>
        <w:tc>
          <w:tcPr>
            <w:tcW w:w="1473" w:type="dxa"/>
          </w:tcPr>
          <w:p>
            <w:pPr>
              <w:pStyle w:val="TableParagraph"/>
              <w:spacing w:line="267" w:lineRule="exact"/>
              <w:ind w:right="100"/>
              <w:jc w:val="right"/>
              <w:rPr>
                <w:sz w:val="22"/>
              </w:rPr>
            </w:pPr>
            <w:r>
              <w:rPr>
                <w:sz w:val="22"/>
              </w:rPr>
              <w:t>0</w:t>
            </w:r>
          </w:p>
        </w:tc>
        <w:tc>
          <w:tcPr>
            <w:tcW w:w="1473" w:type="dxa"/>
          </w:tcPr>
          <w:p>
            <w:pPr>
              <w:pStyle w:val="TableParagraph"/>
              <w:spacing w:line="267" w:lineRule="exact"/>
              <w:ind w:right="100"/>
              <w:jc w:val="right"/>
              <w:rPr>
                <w:sz w:val="22"/>
              </w:rPr>
            </w:pPr>
            <w:r>
              <w:rPr>
                <w:sz w:val="22"/>
              </w:rPr>
              <w:t>0</w:t>
            </w:r>
          </w:p>
        </w:tc>
        <w:tc>
          <w:tcPr>
            <w:tcW w:w="1473" w:type="dxa"/>
          </w:tcPr>
          <w:p>
            <w:pPr>
              <w:pStyle w:val="TableParagraph"/>
              <w:spacing w:line="267" w:lineRule="exact"/>
              <w:ind w:right="100"/>
              <w:jc w:val="right"/>
              <w:rPr>
                <w:sz w:val="22"/>
              </w:rPr>
            </w:pPr>
            <w:r>
              <w:rPr>
                <w:sz w:val="22"/>
              </w:rPr>
              <w:t>0</w:t>
            </w:r>
          </w:p>
        </w:tc>
      </w:tr>
      <w:tr>
        <w:trPr>
          <w:trHeight w:val="503" w:hRule="atLeast"/>
        </w:trPr>
        <w:tc>
          <w:tcPr>
            <w:tcW w:w="5585" w:type="dxa"/>
          </w:tcPr>
          <w:p>
            <w:pPr>
              <w:pStyle w:val="TableParagraph"/>
              <w:spacing w:line="267" w:lineRule="exact"/>
              <w:ind w:left="112"/>
              <w:rPr>
                <w:sz w:val="22"/>
              </w:rPr>
            </w:pPr>
            <w:r>
              <w:rPr>
                <w:sz w:val="22"/>
              </w:rPr>
              <w:t>Retail Trade</w:t>
            </w:r>
          </w:p>
        </w:tc>
        <w:tc>
          <w:tcPr>
            <w:tcW w:w="1472" w:type="dxa"/>
          </w:tcPr>
          <w:p>
            <w:pPr>
              <w:pStyle w:val="TableParagraph"/>
              <w:spacing w:line="267" w:lineRule="exact"/>
              <w:ind w:right="100"/>
              <w:jc w:val="right"/>
              <w:rPr>
                <w:sz w:val="22"/>
              </w:rPr>
            </w:pPr>
            <w:r>
              <w:rPr>
                <w:sz w:val="22"/>
              </w:rPr>
              <w:t>2,674</w:t>
            </w:r>
          </w:p>
        </w:tc>
        <w:tc>
          <w:tcPr>
            <w:tcW w:w="1473" w:type="dxa"/>
          </w:tcPr>
          <w:p>
            <w:pPr>
              <w:pStyle w:val="TableParagraph"/>
              <w:spacing w:line="267" w:lineRule="exact"/>
              <w:ind w:right="100"/>
              <w:jc w:val="right"/>
              <w:rPr>
                <w:sz w:val="22"/>
              </w:rPr>
            </w:pPr>
            <w:r>
              <w:rPr>
                <w:sz w:val="22"/>
              </w:rPr>
              <w:t>4,922</w:t>
            </w:r>
          </w:p>
        </w:tc>
        <w:tc>
          <w:tcPr>
            <w:tcW w:w="1473" w:type="dxa"/>
          </w:tcPr>
          <w:p>
            <w:pPr>
              <w:pStyle w:val="TableParagraph"/>
              <w:spacing w:line="267" w:lineRule="exact"/>
              <w:ind w:right="100"/>
              <w:jc w:val="right"/>
              <w:rPr>
                <w:sz w:val="22"/>
              </w:rPr>
            </w:pPr>
            <w:r>
              <w:rPr>
                <w:sz w:val="22"/>
              </w:rPr>
              <w:t>14</w:t>
            </w:r>
          </w:p>
        </w:tc>
        <w:tc>
          <w:tcPr>
            <w:tcW w:w="1473" w:type="dxa"/>
          </w:tcPr>
          <w:p>
            <w:pPr>
              <w:pStyle w:val="TableParagraph"/>
              <w:spacing w:line="267" w:lineRule="exact"/>
              <w:ind w:right="100"/>
              <w:jc w:val="right"/>
              <w:rPr>
                <w:sz w:val="22"/>
              </w:rPr>
            </w:pPr>
            <w:r>
              <w:rPr>
                <w:sz w:val="22"/>
              </w:rPr>
              <w:t>15</w:t>
            </w:r>
          </w:p>
        </w:tc>
        <w:tc>
          <w:tcPr>
            <w:tcW w:w="1473" w:type="dxa"/>
          </w:tcPr>
          <w:p>
            <w:pPr>
              <w:pStyle w:val="TableParagraph"/>
              <w:spacing w:line="267" w:lineRule="exact"/>
              <w:ind w:right="100"/>
              <w:jc w:val="right"/>
              <w:rPr>
                <w:sz w:val="22"/>
              </w:rPr>
            </w:pPr>
            <w:r>
              <w:rPr>
                <w:sz w:val="22"/>
              </w:rPr>
              <w:t>1</w:t>
            </w:r>
          </w:p>
        </w:tc>
      </w:tr>
      <w:tr>
        <w:trPr>
          <w:trHeight w:val="503" w:hRule="atLeast"/>
        </w:trPr>
        <w:tc>
          <w:tcPr>
            <w:tcW w:w="5585" w:type="dxa"/>
          </w:tcPr>
          <w:p>
            <w:pPr>
              <w:pStyle w:val="TableParagraph"/>
              <w:spacing w:line="267" w:lineRule="exact"/>
              <w:ind w:left="112"/>
              <w:rPr>
                <w:sz w:val="22"/>
              </w:rPr>
            </w:pPr>
            <w:r>
              <w:rPr>
                <w:sz w:val="22"/>
              </w:rPr>
              <w:t>Transportation and Warehousing</w:t>
            </w:r>
          </w:p>
        </w:tc>
        <w:tc>
          <w:tcPr>
            <w:tcW w:w="1472" w:type="dxa"/>
          </w:tcPr>
          <w:p>
            <w:pPr>
              <w:pStyle w:val="TableParagraph"/>
              <w:spacing w:line="267" w:lineRule="exact"/>
              <w:ind w:right="100"/>
              <w:jc w:val="right"/>
              <w:rPr>
                <w:sz w:val="22"/>
              </w:rPr>
            </w:pPr>
            <w:r>
              <w:rPr>
                <w:sz w:val="22"/>
              </w:rPr>
              <w:t>635</w:t>
            </w:r>
          </w:p>
        </w:tc>
        <w:tc>
          <w:tcPr>
            <w:tcW w:w="1473" w:type="dxa"/>
          </w:tcPr>
          <w:p>
            <w:pPr>
              <w:pStyle w:val="TableParagraph"/>
              <w:spacing w:line="267" w:lineRule="exact"/>
              <w:ind w:right="100"/>
              <w:jc w:val="right"/>
              <w:rPr>
                <w:sz w:val="22"/>
              </w:rPr>
            </w:pPr>
            <w:r>
              <w:rPr>
                <w:sz w:val="22"/>
              </w:rPr>
              <w:t>193</w:t>
            </w:r>
          </w:p>
        </w:tc>
        <w:tc>
          <w:tcPr>
            <w:tcW w:w="1473" w:type="dxa"/>
          </w:tcPr>
          <w:p>
            <w:pPr>
              <w:pStyle w:val="TableParagraph"/>
              <w:spacing w:line="267" w:lineRule="exact"/>
              <w:ind w:right="100"/>
              <w:jc w:val="right"/>
              <w:rPr>
                <w:sz w:val="22"/>
              </w:rPr>
            </w:pPr>
            <w:r>
              <w:rPr>
                <w:sz w:val="22"/>
              </w:rPr>
              <w:t>3</w:t>
            </w:r>
          </w:p>
        </w:tc>
        <w:tc>
          <w:tcPr>
            <w:tcW w:w="1473" w:type="dxa"/>
          </w:tcPr>
          <w:p>
            <w:pPr>
              <w:pStyle w:val="TableParagraph"/>
              <w:spacing w:line="267" w:lineRule="exact"/>
              <w:ind w:right="100"/>
              <w:jc w:val="right"/>
              <w:rPr>
                <w:sz w:val="22"/>
              </w:rPr>
            </w:pPr>
            <w:r>
              <w:rPr>
                <w:sz w:val="22"/>
              </w:rPr>
              <w:t>1</w:t>
            </w:r>
          </w:p>
        </w:tc>
        <w:tc>
          <w:tcPr>
            <w:tcW w:w="1473" w:type="dxa"/>
          </w:tcPr>
          <w:p>
            <w:pPr>
              <w:pStyle w:val="TableParagraph"/>
              <w:spacing w:line="267" w:lineRule="exact"/>
              <w:ind w:right="100"/>
              <w:jc w:val="right"/>
              <w:rPr>
                <w:sz w:val="22"/>
              </w:rPr>
            </w:pPr>
            <w:r>
              <w:rPr>
                <w:sz w:val="22"/>
              </w:rPr>
              <w:t>-3</w:t>
            </w:r>
          </w:p>
        </w:tc>
      </w:tr>
    </w:tbl>
    <w:p>
      <w:pPr>
        <w:spacing w:after="0" w:line="267" w:lineRule="exact"/>
        <w:jc w:val="right"/>
        <w:rPr>
          <w:sz w:val="22"/>
        </w:rPr>
        <w:sectPr>
          <w:headerReference w:type="default" r:id="rId75"/>
          <w:footerReference w:type="default" r:id="rId76"/>
          <w:pgSz w:w="15840" w:h="12240" w:orient="landscape"/>
          <w:pgMar w:header="0" w:footer="1072" w:top="1140" w:bottom="1260" w:left="1320" w:right="1340"/>
          <w:pgNumType w:start="81"/>
        </w:sectPr>
      </w:pPr>
    </w:p>
    <w:p>
      <w:pPr>
        <w:pStyle w:val="BodyText"/>
        <w:spacing w:before="2"/>
        <w:rPr>
          <w:b/>
          <w:sz w:val="24"/>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85"/>
        <w:gridCol w:w="1472"/>
        <w:gridCol w:w="1473"/>
        <w:gridCol w:w="1473"/>
        <w:gridCol w:w="1473"/>
        <w:gridCol w:w="1473"/>
      </w:tblGrid>
      <w:tr>
        <w:trPr>
          <w:trHeight w:val="503" w:hRule="atLeast"/>
        </w:trPr>
        <w:tc>
          <w:tcPr>
            <w:tcW w:w="5585" w:type="dxa"/>
          </w:tcPr>
          <w:p>
            <w:pPr>
              <w:pStyle w:val="TableParagraph"/>
              <w:spacing w:before="1"/>
              <w:ind w:left="112"/>
              <w:rPr>
                <w:sz w:val="22"/>
              </w:rPr>
            </w:pPr>
            <w:r>
              <w:rPr>
                <w:sz w:val="22"/>
              </w:rPr>
              <w:t>Wholesale Trade</w:t>
            </w:r>
          </w:p>
        </w:tc>
        <w:tc>
          <w:tcPr>
            <w:tcW w:w="1472" w:type="dxa"/>
          </w:tcPr>
          <w:p>
            <w:pPr>
              <w:pStyle w:val="TableParagraph"/>
              <w:spacing w:before="1"/>
              <w:ind w:right="100"/>
              <w:jc w:val="right"/>
              <w:rPr>
                <w:sz w:val="22"/>
              </w:rPr>
            </w:pPr>
            <w:r>
              <w:rPr>
                <w:sz w:val="22"/>
              </w:rPr>
              <w:t>645</w:t>
            </w:r>
          </w:p>
        </w:tc>
        <w:tc>
          <w:tcPr>
            <w:tcW w:w="1473" w:type="dxa"/>
          </w:tcPr>
          <w:p>
            <w:pPr>
              <w:pStyle w:val="TableParagraph"/>
              <w:spacing w:before="1"/>
              <w:ind w:right="100"/>
              <w:jc w:val="right"/>
              <w:rPr>
                <w:sz w:val="22"/>
              </w:rPr>
            </w:pPr>
            <w:r>
              <w:rPr>
                <w:sz w:val="22"/>
              </w:rPr>
              <w:t>769</w:t>
            </w:r>
          </w:p>
        </w:tc>
        <w:tc>
          <w:tcPr>
            <w:tcW w:w="1473" w:type="dxa"/>
          </w:tcPr>
          <w:p>
            <w:pPr>
              <w:pStyle w:val="TableParagraph"/>
              <w:spacing w:before="1"/>
              <w:ind w:right="100"/>
              <w:jc w:val="right"/>
              <w:rPr>
                <w:sz w:val="22"/>
              </w:rPr>
            </w:pPr>
            <w:r>
              <w:rPr>
                <w:sz w:val="22"/>
              </w:rPr>
              <w:t>3</w:t>
            </w:r>
          </w:p>
        </w:tc>
        <w:tc>
          <w:tcPr>
            <w:tcW w:w="1473" w:type="dxa"/>
          </w:tcPr>
          <w:p>
            <w:pPr>
              <w:pStyle w:val="TableParagraph"/>
              <w:spacing w:before="1"/>
              <w:ind w:right="100"/>
              <w:jc w:val="right"/>
              <w:rPr>
                <w:sz w:val="22"/>
              </w:rPr>
            </w:pPr>
            <w:r>
              <w:rPr>
                <w:sz w:val="22"/>
              </w:rPr>
              <w:t>2</w:t>
            </w:r>
          </w:p>
        </w:tc>
        <w:tc>
          <w:tcPr>
            <w:tcW w:w="1473" w:type="dxa"/>
          </w:tcPr>
          <w:p>
            <w:pPr>
              <w:pStyle w:val="TableParagraph"/>
              <w:spacing w:before="1"/>
              <w:ind w:right="100"/>
              <w:jc w:val="right"/>
              <w:rPr>
                <w:sz w:val="22"/>
              </w:rPr>
            </w:pPr>
            <w:r>
              <w:rPr>
                <w:sz w:val="22"/>
              </w:rPr>
              <w:t>-1</w:t>
            </w:r>
          </w:p>
        </w:tc>
      </w:tr>
      <w:tr>
        <w:trPr>
          <w:trHeight w:val="503" w:hRule="atLeast"/>
        </w:trPr>
        <w:tc>
          <w:tcPr>
            <w:tcW w:w="5585" w:type="dxa"/>
          </w:tcPr>
          <w:p>
            <w:pPr>
              <w:pStyle w:val="TableParagraph"/>
              <w:spacing w:before="1"/>
              <w:ind w:left="112"/>
              <w:rPr>
                <w:sz w:val="22"/>
              </w:rPr>
            </w:pPr>
            <w:r>
              <w:rPr>
                <w:sz w:val="22"/>
              </w:rPr>
              <w:t>Total</w:t>
            </w:r>
          </w:p>
        </w:tc>
        <w:tc>
          <w:tcPr>
            <w:tcW w:w="1472" w:type="dxa"/>
          </w:tcPr>
          <w:p>
            <w:pPr>
              <w:pStyle w:val="TableParagraph"/>
              <w:spacing w:before="1"/>
              <w:ind w:right="100"/>
              <w:jc w:val="right"/>
              <w:rPr>
                <w:sz w:val="22"/>
              </w:rPr>
            </w:pPr>
            <w:r>
              <w:rPr>
                <w:sz w:val="22"/>
              </w:rPr>
              <w:t>17,846</w:t>
            </w:r>
          </w:p>
        </w:tc>
        <w:tc>
          <w:tcPr>
            <w:tcW w:w="1473" w:type="dxa"/>
          </w:tcPr>
          <w:p>
            <w:pPr>
              <w:pStyle w:val="TableParagraph"/>
              <w:spacing w:before="1"/>
              <w:ind w:right="100"/>
              <w:jc w:val="right"/>
              <w:rPr>
                <w:sz w:val="22"/>
              </w:rPr>
            </w:pPr>
            <w:r>
              <w:rPr>
                <w:sz w:val="22"/>
              </w:rPr>
              <w:t>31,264</w:t>
            </w:r>
          </w:p>
        </w:tc>
        <w:tc>
          <w:tcPr>
            <w:tcW w:w="1473" w:type="dxa"/>
          </w:tcPr>
          <w:p>
            <w:pPr>
              <w:pStyle w:val="TableParagraph"/>
              <w:spacing w:before="1"/>
              <w:ind w:right="100"/>
              <w:jc w:val="right"/>
              <w:rPr>
                <w:sz w:val="22"/>
              </w:rPr>
            </w:pPr>
            <w:r>
              <w:rPr>
                <w:sz w:val="22"/>
              </w:rPr>
              <w:t>--</w:t>
            </w:r>
          </w:p>
        </w:tc>
        <w:tc>
          <w:tcPr>
            <w:tcW w:w="1473" w:type="dxa"/>
          </w:tcPr>
          <w:p>
            <w:pPr>
              <w:pStyle w:val="TableParagraph"/>
              <w:spacing w:before="1"/>
              <w:ind w:right="100"/>
              <w:jc w:val="right"/>
              <w:rPr>
                <w:sz w:val="22"/>
              </w:rPr>
            </w:pPr>
            <w:r>
              <w:rPr>
                <w:sz w:val="22"/>
              </w:rPr>
              <w:t>--</w:t>
            </w:r>
          </w:p>
        </w:tc>
        <w:tc>
          <w:tcPr>
            <w:tcW w:w="1473" w:type="dxa"/>
          </w:tcPr>
          <w:p>
            <w:pPr>
              <w:pStyle w:val="TableParagraph"/>
              <w:spacing w:before="1"/>
              <w:ind w:right="100"/>
              <w:jc w:val="right"/>
              <w:rPr>
                <w:sz w:val="22"/>
              </w:rPr>
            </w:pPr>
            <w:r>
              <w:rPr>
                <w:sz w:val="22"/>
              </w:rPr>
              <w:t>--</w:t>
            </w:r>
          </w:p>
        </w:tc>
      </w:tr>
    </w:tbl>
    <w:p>
      <w:pPr>
        <w:spacing w:after="0"/>
        <w:jc w:val="right"/>
        <w:rPr>
          <w:sz w:val="22"/>
        </w:rPr>
        <w:sectPr>
          <w:headerReference w:type="default" r:id="rId77"/>
          <w:footerReference w:type="default" r:id="rId78"/>
          <w:pgSz w:w="15840" w:h="12240" w:orient="landscape"/>
          <w:pgMar w:header="0" w:footer="726" w:top="1140" w:bottom="920" w:left="1320" w:right="1340"/>
        </w:sectPr>
      </w:pPr>
    </w:p>
    <w:p>
      <w:pPr>
        <w:pStyle w:val="BodyText"/>
        <w:spacing w:before="1"/>
        <w:rPr>
          <w:b/>
          <w:sz w:val="19"/>
        </w:rPr>
      </w:pPr>
    </w:p>
    <w:p>
      <w:pPr>
        <w:spacing w:before="0"/>
        <w:ind w:left="235" w:right="20" w:firstLine="0"/>
        <w:jc w:val="left"/>
        <w:rPr>
          <w:b/>
          <w:sz w:val="16"/>
        </w:rPr>
      </w:pPr>
      <w:r>
        <w:rPr>
          <w:b/>
          <w:sz w:val="16"/>
        </w:rPr>
        <w:t>Data Source:</w:t>
      </w:r>
    </w:p>
    <w:p>
      <w:pPr>
        <w:spacing w:before="0"/>
        <w:ind w:left="4191" w:right="5236" w:firstLine="0"/>
        <w:jc w:val="center"/>
        <w:rPr>
          <w:rFonts w:ascii="Arial"/>
          <w:b/>
          <w:sz w:val="20"/>
        </w:rPr>
      </w:pPr>
      <w:r>
        <w:rPr/>
        <w:br w:type="column"/>
      </w:r>
      <w:r>
        <w:rPr>
          <w:rFonts w:ascii="Arial"/>
          <w:b/>
          <w:sz w:val="20"/>
        </w:rPr>
        <w:t>Table 45 - Business Activity</w:t>
      </w:r>
    </w:p>
    <w:p>
      <w:pPr>
        <w:spacing w:before="3"/>
        <w:ind w:left="235" w:right="0" w:firstLine="0"/>
        <w:jc w:val="left"/>
        <w:rPr>
          <w:sz w:val="16"/>
        </w:rPr>
      </w:pPr>
      <w:r>
        <w:rPr>
          <w:sz w:val="16"/>
        </w:rPr>
        <w:t>2016-2020 ACS (Workers), 2020 Longitudinal Employer-Household Dynamics (Jobs)</w:t>
      </w:r>
    </w:p>
    <w:p>
      <w:pPr>
        <w:spacing w:after="0"/>
        <w:jc w:val="left"/>
        <w:rPr>
          <w:sz w:val="16"/>
        </w:rPr>
        <w:sectPr>
          <w:type w:val="continuous"/>
          <w:pgSz w:w="15840" w:h="12240" w:orient="landscape"/>
          <w:pgMar w:top="1340" w:bottom="1520" w:left="1320" w:right="1340"/>
          <w:cols w:num="2" w:equalWidth="0">
            <w:col w:w="772" w:space="294"/>
            <w:col w:w="1211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5"/>
        </w:rPr>
      </w:pPr>
    </w:p>
    <w:p>
      <w:pPr>
        <w:pStyle w:val="BodyText"/>
        <w:tabs>
          <w:tab w:pos="5759" w:val="left" w:leader="none"/>
          <w:tab w:pos="11353" w:val="right" w:leader="none"/>
        </w:tabs>
        <w:spacing w:before="56"/>
        <w:ind w:left="1846"/>
      </w:pPr>
      <w:r>
        <w:rPr/>
        <w:t>Consolidated Plan</w:t>
        <w:tab/>
        <w:t>BLOOMINGTON</w:t>
        <w:tab/>
        <w:t>82</w:t>
      </w:r>
    </w:p>
    <w:p>
      <w:pPr>
        <w:spacing w:after="0"/>
        <w:sectPr>
          <w:type w:val="continuous"/>
          <w:pgSz w:w="15840" w:h="12240" w:orient="landscape"/>
          <w:pgMar w:top="1340" w:bottom="1520" w:left="1320" w:right="1340"/>
        </w:sectPr>
      </w:pPr>
    </w:p>
    <w:p>
      <w:pPr>
        <w:pStyle w:val="Heading4"/>
        <w:spacing w:before="24"/>
      </w:pPr>
      <w:r>
        <w:rPr/>
        <w:t>Labor Force</w:t>
      </w:r>
    </w:p>
    <w:p>
      <w:pPr>
        <w:pStyle w:val="BodyText"/>
        <w:spacing w:before="8"/>
        <w:rPr>
          <w:b/>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52"/>
        <w:gridCol w:w="4898"/>
      </w:tblGrid>
      <w:tr>
        <w:trPr>
          <w:trHeight w:val="331" w:hRule="atLeast"/>
        </w:trPr>
        <w:tc>
          <w:tcPr>
            <w:tcW w:w="9350" w:type="dxa"/>
            <w:gridSpan w:val="2"/>
          </w:tcPr>
          <w:p>
            <w:pPr>
              <w:pStyle w:val="TableParagraph"/>
              <w:rPr>
                <w:rFonts w:ascii="Times New Roman"/>
                <w:sz w:val="20"/>
              </w:rPr>
            </w:pPr>
          </w:p>
        </w:tc>
      </w:tr>
      <w:tr>
        <w:trPr>
          <w:trHeight w:val="503" w:hRule="atLeast"/>
        </w:trPr>
        <w:tc>
          <w:tcPr>
            <w:tcW w:w="4452" w:type="dxa"/>
          </w:tcPr>
          <w:p>
            <w:pPr>
              <w:pStyle w:val="TableParagraph"/>
              <w:spacing w:before="1"/>
              <w:ind w:left="112"/>
              <w:rPr>
                <w:sz w:val="22"/>
              </w:rPr>
            </w:pPr>
            <w:r>
              <w:rPr>
                <w:sz w:val="22"/>
              </w:rPr>
              <w:t>Total Population in the Civilian Labor Force</w:t>
            </w:r>
          </w:p>
        </w:tc>
        <w:tc>
          <w:tcPr>
            <w:tcW w:w="4898" w:type="dxa"/>
          </w:tcPr>
          <w:p>
            <w:pPr>
              <w:pStyle w:val="TableParagraph"/>
              <w:spacing w:before="1"/>
              <w:ind w:right="100"/>
              <w:jc w:val="right"/>
              <w:rPr>
                <w:sz w:val="22"/>
              </w:rPr>
            </w:pPr>
            <w:r>
              <w:rPr>
                <w:sz w:val="22"/>
              </w:rPr>
              <w:t>43,933</w:t>
            </w:r>
          </w:p>
        </w:tc>
      </w:tr>
      <w:tr>
        <w:trPr>
          <w:trHeight w:val="812" w:hRule="atLeast"/>
        </w:trPr>
        <w:tc>
          <w:tcPr>
            <w:tcW w:w="4452" w:type="dxa"/>
          </w:tcPr>
          <w:p>
            <w:pPr>
              <w:pStyle w:val="TableParagraph"/>
              <w:spacing w:line="276" w:lineRule="auto" w:before="1"/>
              <w:ind w:left="112" w:right="517"/>
              <w:rPr>
                <w:sz w:val="22"/>
              </w:rPr>
            </w:pPr>
            <w:r>
              <w:rPr>
                <w:sz w:val="22"/>
              </w:rPr>
              <w:t>Civilian Employed Population 16 years and over</w:t>
            </w:r>
          </w:p>
        </w:tc>
        <w:tc>
          <w:tcPr>
            <w:tcW w:w="4898" w:type="dxa"/>
          </w:tcPr>
          <w:p>
            <w:pPr>
              <w:pStyle w:val="TableParagraph"/>
              <w:spacing w:before="5"/>
              <w:rPr>
                <w:b/>
                <w:sz w:val="25"/>
              </w:rPr>
            </w:pPr>
          </w:p>
          <w:p>
            <w:pPr>
              <w:pStyle w:val="TableParagraph"/>
              <w:ind w:right="100"/>
              <w:jc w:val="right"/>
              <w:rPr>
                <w:sz w:val="22"/>
              </w:rPr>
            </w:pPr>
            <w:r>
              <w:rPr>
                <w:sz w:val="22"/>
              </w:rPr>
              <w:t>40,775</w:t>
            </w:r>
          </w:p>
        </w:tc>
      </w:tr>
      <w:tr>
        <w:trPr>
          <w:trHeight w:val="503" w:hRule="atLeast"/>
        </w:trPr>
        <w:tc>
          <w:tcPr>
            <w:tcW w:w="4452" w:type="dxa"/>
          </w:tcPr>
          <w:p>
            <w:pPr>
              <w:pStyle w:val="TableParagraph"/>
              <w:spacing w:before="1"/>
              <w:ind w:left="112"/>
              <w:rPr>
                <w:sz w:val="22"/>
              </w:rPr>
            </w:pPr>
            <w:r>
              <w:rPr>
                <w:sz w:val="22"/>
              </w:rPr>
              <w:t>Unemployment Rate</w:t>
            </w:r>
          </w:p>
        </w:tc>
        <w:tc>
          <w:tcPr>
            <w:tcW w:w="4898" w:type="dxa"/>
          </w:tcPr>
          <w:p>
            <w:pPr>
              <w:pStyle w:val="TableParagraph"/>
              <w:spacing w:before="1"/>
              <w:ind w:right="100"/>
              <w:jc w:val="right"/>
              <w:rPr>
                <w:sz w:val="22"/>
              </w:rPr>
            </w:pPr>
            <w:r>
              <w:rPr>
                <w:sz w:val="22"/>
              </w:rPr>
              <w:t>7.17</w:t>
            </w:r>
          </w:p>
        </w:tc>
      </w:tr>
      <w:tr>
        <w:trPr>
          <w:trHeight w:val="503" w:hRule="atLeast"/>
        </w:trPr>
        <w:tc>
          <w:tcPr>
            <w:tcW w:w="4452" w:type="dxa"/>
          </w:tcPr>
          <w:p>
            <w:pPr>
              <w:pStyle w:val="TableParagraph"/>
              <w:spacing w:before="1"/>
              <w:ind w:left="112"/>
              <w:rPr>
                <w:sz w:val="22"/>
              </w:rPr>
            </w:pPr>
            <w:r>
              <w:rPr>
                <w:sz w:val="22"/>
              </w:rPr>
              <w:t>Unemployment Rate for Ages 16-24</w:t>
            </w:r>
          </w:p>
        </w:tc>
        <w:tc>
          <w:tcPr>
            <w:tcW w:w="4898" w:type="dxa"/>
          </w:tcPr>
          <w:p>
            <w:pPr>
              <w:pStyle w:val="TableParagraph"/>
              <w:spacing w:before="1"/>
              <w:ind w:right="100"/>
              <w:jc w:val="right"/>
              <w:rPr>
                <w:sz w:val="22"/>
              </w:rPr>
            </w:pPr>
            <w:r>
              <w:rPr>
                <w:sz w:val="22"/>
              </w:rPr>
              <w:t>16.84</w:t>
            </w:r>
          </w:p>
        </w:tc>
      </w:tr>
      <w:tr>
        <w:trPr>
          <w:trHeight w:val="503" w:hRule="atLeast"/>
        </w:trPr>
        <w:tc>
          <w:tcPr>
            <w:tcW w:w="4452" w:type="dxa"/>
          </w:tcPr>
          <w:p>
            <w:pPr>
              <w:pStyle w:val="TableParagraph"/>
              <w:spacing w:before="1"/>
              <w:ind w:left="112"/>
              <w:rPr>
                <w:sz w:val="22"/>
              </w:rPr>
            </w:pPr>
            <w:r>
              <w:rPr>
                <w:sz w:val="22"/>
              </w:rPr>
              <w:t>Unemployment Rate for Ages 25-65</w:t>
            </w:r>
          </w:p>
        </w:tc>
        <w:tc>
          <w:tcPr>
            <w:tcW w:w="4898" w:type="dxa"/>
          </w:tcPr>
          <w:p>
            <w:pPr>
              <w:pStyle w:val="TableParagraph"/>
              <w:spacing w:before="1"/>
              <w:ind w:right="100"/>
              <w:jc w:val="right"/>
              <w:rPr>
                <w:sz w:val="22"/>
              </w:rPr>
            </w:pPr>
            <w:r>
              <w:rPr>
                <w:sz w:val="22"/>
              </w:rPr>
              <w:t>3.06</w:t>
            </w:r>
          </w:p>
        </w:tc>
      </w:tr>
    </w:tbl>
    <w:p>
      <w:pPr>
        <w:spacing w:after="0"/>
        <w:jc w:val="right"/>
        <w:rPr>
          <w:sz w:val="22"/>
        </w:rPr>
        <w:sectPr>
          <w:headerReference w:type="default" r:id="rId79"/>
          <w:footerReference w:type="default" r:id="rId80"/>
          <w:pgSz w:w="12240" w:h="15840"/>
          <w:pgMar w:header="0" w:footer="1340" w:top="1420" w:bottom="1540" w:left="1220" w:right="100"/>
          <w:pgNumType w:start="83"/>
        </w:sectPr>
      </w:pPr>
    </w:p>
    <w:p>
      <w:pPr>
        <w:pStyle w:val="BodyText"/>
        <w:spacing w:before="1"/>
        <w:rPr>
          <w:b/>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ACS</w:t>
      </w:r>
    </w:p>
    <w:p>
      <w:pPr>
        <w:spacing w:before="0"/>
        <w:ind w:left="335" w:right="0" w:firstLine="0"/>
        <w:jc w:val="left"/>
        <w:rPr>
          <w:rFonts w:ascii="Arial"/>
          <w:b/>
          <w:sz w:val="20"/>
        </w:rPr>
      </w:pPr>
      <w:r>
        <w:rPr/>
        <w:br w:type="column"/>
      </w:r>
      <w:r>
        <w:rPr>
          <w:rFonts w:ascii="Arial"/>
          <w:b/>
          <w:sz w:val="20"/>
        </w:rPr>
        <w:t>Table 46 - Labor Force</w:t>
      </w:r>
    </w:p>
    <w:p>
      <w:pPr>
        <w:spacing w:after="0"/>
        <w:jc w:val="left"/>
        <w:rPr>
          <w:rFonts w:ascii="Arial"/>
          <w:sz w:val="20"/>
        </w:rPr>
        <w:sectPr>
          <w:type w:val="continuous"/>
          <w:pgSz w:w="12240" w:h="15840"/>
          <w:pgMar w:top="1340" w:bottom="1520" w:left="1220" w:right="100"/>
          <w:cols w:num="3" w:equalWidth="0">
            <w:col w:w="872" w:space="192"/>
            <w:col w:w="1361" w:space="1073"/>
            <w:col w:w="7422"/>
          </w:cols>
        </w:sectPr>
      </w:pPr>
    </w:p>
    <w:p>
      <w:pPr>
        <w:pStyle w:val="BodyText"/>
        <w:rPr>
          <w:rFonts w:ascii="Arial"/>
          <w:b/>
          <w:sz w:val="20"/>
        </w:rPr>
      </w:pPr>
    </w:p>
    <w:p>
      <w:pPr>
        <w:pStyle w:val="BodyText"/>
        <w:spacing w:before="10" w:after="1"/>
        <w:rPr>
          <w:rFonts w:ascii="Arial"/>
          <w:b/>
          <w:sz w:val="2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44"/>
        <w:gridCol w:w="4906"/>
      </w:tblGrid>
      <w:tr>
        <w:trPr>
          <w:trHeight w:val="503" w:hRule="atLeast"/>
        </w:trPr>
        <w:tc>
          <w:tcPr>
            <w:tcW w:w="9350" w:type="dxa"/>
            <w:gridSpan w:val="2"/>
          </w:tcPr>
          <w:p>
            <w:pPr>
              <w:pStyle w:val="TableParagraph"/>
              <w:tabs>
                <w:tab w:pos="4556" w:val="left" w:leader="none"/>
              </w:tabs>
              <w:spacing w:before="1"/>
              <w:ind w:left="112"/>
              <w:rPr>
                <w:b/>
                <w:sz w:val="22"/>
              </w:rPr>
            </w:pPr>
            <w:r>
              <w:rPr>
                <w:b/>
                <w:sz w:val="22"/>
              </w:rPr>
              <w:t>Occupations by Sector</w:t>
              <w:tab/>
              <w:t>Number of People</w:t>
            </w:r>
          </w:p>
        </w:tc>
      </w:tr>
      <w:tr>
        <w:trPr>
          <w:trHeight w:val="503" w:hRule="atLeast"/>
        </w:trPr>
        <w:tc>
          <w:tcPr>
            <w:tcW w:w="4444" w:type="dxa"/>
          </w:tcPr>
          <w:p>
            <w:pPr>
              <w:pStyle w:val="TableParagraph"/>
              <w:spacing w:before="1"/>
              <w:ind w:left="112"/>
              <w:rPr>
                <w:sz w:val="22"/>
              </w:rPr>
            </w:pPr>
            <w:r>
              <w:rPr>
                <w:sz w:val="22"/>
              </w:rPr>
              <w:t>Management, business and financial</w:t>
            </w:r>
          </w:p>
        </w:tc>
        <w:tc>
          <w:tcPr>
            <w:tcW w:w="4906" w:type="dxa"/>
          </w:tcPr>
          <w:p>
            <w:pPr>
              <w:pStyle w:val="TableParagraph"/>
              <w:spacing w:before="1"/>
              <w:ind w:right="100"/>
              <w:jc w:val="right"/>
              <w:rPr>
                <w:sz w:val="22"/>
              </w:rPr>
            </w:pPr>
            <w:r>
              <w:rPr>
                <w:sz w:val="22"/>
              </w:rPr>
              <w:t>12,580</w:t>
            </w:r>
          </w:p>
        </w:tc>
      </w:tr>
      <w:tr>
        <w:trPr>
          <w:trHeight w:val="503" w:hRule="atLeast"/>
        </w:trPr>
        <w:tc>
          <w:tcPr>
            <w:tcW w:w="4444" w:type="dxa"/>
          </w:tcPr>
          <w:p>
            <w:pPr>
              <w:pStyle w:val="TableParagraph"/>
              <w:spacing w:before="1"/>
              <w:ind w:left="112"/>
              <w:rPr>
                <w:sz w:val="22"/>
              </w:rPr>
            </w:pPr>
            <w:r>
              <w:rPr>
                <w:sz w:val="22"/>
              </w:rPr>
              <w:t>Farming, fisheries and forestry occupations</w:t>
            </w:r>
          </w:p>
        </w:tc>
        <w:tc>
          <w:tcPr>
            <w:tcW w:w="4906" w:type="dxa"/>
          </w:tcPr>
          <w:p>
            <w:pPr>
              <w:pStyle w:val="TableParagraph"/>
              <w:spacing w:before="1"/>
              <w:ind w:right="100"/>
              <w:jc w:val="right"/>
              <w:rPr>
                <w:sz w:val="22"/>
              </w:rPr>
            </w:pPr>
            <w:r>
              <w:rPr>
                <w:sz w:val="22"/>
              </w:rPr>
              <w:t>1,580</w:t>
            </w:r>
          </w:p>
        </w:tc>
      </w:tr>
      <w:tr>
        <w:trPr>
          <w:trHeight w:val="503" w:hRule="atLeast"/>
        </w:trPr>
        <w:tc>
          <w:tcPr>
            <w:tcW w:w="4444" w:type="dxa"/>
          </w:tcPr>
          <w:p>
            <w:pPr>
              <w:pStyle w:val="TableParagraph"/>
              <w:spacing w:before="1"/>
              <w:ind w:left="112"/>
              <w:rPr>
                <w:sz w:val="22"/>
              </w:rPr>
            </w:pPr>
            <w:r>
              <w:rPr>
                <w:sz w:val="22"/>
              </w:rPr>
              <w:t>Service</w:t>
            </w:r>
          </w:p>
        </w:tc>
        <w:tc>
          <w:tcPr>
            <w:tcW w:w="4906" w:type="dxa"/>
          </w:tcPr>
          <w:p>
            <w:pPr>
              <w:pStyle w:val="TableParagraph"/>
              <w:spacing w:before="1"/>
              <w:ind w:right="100"/>
              <w:jc w:val="right"/>
              <w:rPr>
                <w:sz w:val="22"/>
              </w:rPr>
            </w:pPr>
            <w:r>
              <w:rPr>
                <w:sz w:val="22"/>
              </w:rPr>
              <w:t>4,545</w:t>
            </w:r>
          </w:p>
        </w:tc>
      </w:tr>
      <w:tr>
        <w:trPr>
          <w:trHeight w:val="503" w:hRule="atLeast"/>
        </w:trPr>
        <w:tc>
          <w:tcPr>
            <w:tcW w:w="4444" w:type="dxa"/>
          </w:tcPr>
          <w:p>
            <w:pPr>
              <w:pStyle w:val="TableParagraph"/>
              <w:spacing w:before="1"/>
              <w:ind w:left="112"/>
              <w:rPr>
                <w:sz w:val="22"/>
              </w:rPr>
            </w:pPr>
            <w:r>
              <w:rPr>
                <w:sz w:val="22"/>
              </w:rPr>
              <w:t>Sales and office</w:t>
            </w:r>
          </w:p>
        </w:tc>
        <w:tc>
          <w:tcPr>
            <w:tcW w:w="4906" w:type="dxa"/>
          </w:tcPr>
          <w:p>
            <w:pPr>
              <w:pStyle w:val="TableParagraph"/>
              <w:spacing w:before="1"/>
              <w:ind w:right="100"/>
              <w:jc w:val="right"/>
              <w:rPr>
                <w:sz w:val="22"/>
              </w:rPr>
            </w:pPr>
            <w:r>
              <w:rPr>
                <w:sz w:val="22"/>
              </w:rPr>
              <w:t>7,495</w:t>
            </w:r>
          </w:p>
        </w:tc>
      </w:tr>
      <w:tr>
        <w:trPr>
          <w:trHeight w:val="812" w:hRule="atLeast"/>
        </w:trPr>
        <w:tc>
          <w:tcPr>
            <w:tcW w:w="4444" w:type="dxa"/>
          </w:tcPr>
          <w:p>
            <w:pPr>
              <w:pStyle w:val="TableParagraph"/>
              <w:spacing w:line="276" w:lineRule="auto" w:before="1"/>
              <w:ind w:left="112" w:right="473"/>
              <w:rPr>
                <w:sz w:val="22"/>
              </w:rPr>
            </w:pPr>
            <w:r>
              <w:rPr>
                <w:sz w:val="22"/>
              </w:rPr>
              <w:t>Construction, extraction, maintenance and repair</w:t>
            </w:r>
          </w:p>
        </w:tc>
        <w:tc>
          <w:tcPr>
            <w:tcW w:w="4906" w:type="dxa"/>
          </w:tcPr>
          <w:p>
            <w:pPr>
              <w:pStyle w:val="TableParagraph"/>
              <w:spacing w:before="11"/>
              <w:rPr>
                <w:rFonts w:ascii="Arial"/>
                <w:b/>
                <w:sz w:val="26"/>
              </w:rPr>
            </w:pPr>
          </w:p>
          <w:p>
            <w:pPr>
              <w:pStyle w:val="TableParagraph"/>
              <w:ind w:right="100"/>
              <w:jc w:val="right"/>
              <w:rPr>
                <w:sz w:val="22"/>
              </w:rPr>
            </w:pPr>
            <w:r>
              <w:rPr>
                <w:sz w:val="22"/>
              </w:rPr>
              <w:t>1,085</w:t>
            </w:r>
          </w:p>
        </w:tc>
      </w:tr>
      <w:tr>
        <w:trPr>
          <w:trHeight w:val="812" w:hRule="atLeast"/>
        </w:trPr>
        <w:tc>
          <w:tcPr>
            <w:tcW w:w="4444" w:type="dxa"/>
          </w:tcPr>
          <w:p>
            <w:pPr>
              <w:pStyle w:val="TableParagraph"/>
              <w:spacing w:line="276" w:lineRule="auto" w:before="1"/>
              <w:ind w:left="112" w:right="722"/>
              <w:rPr>
                <w:sz w:val="22"/>
              </w:rPr>
            </w:pPr>
            <w:r>
              <w:rPr>
                <w:sz w:val="22"/>
              </w:rPr>
              <w:t>Production, transportation and material moving</w:t>
            </w:r>
          </w:p>
        </w:tc>
        <w:tc>
          <w:tcPr>
            <w:tcW w:w="4906" w:type="dxa"/>
          </w:tcPr>
          <w:p>
            <w:pPr>
              <w:pStyle w:val="TableParagraph"/>
              <w:spacing w:before="11"/>
              <w:rPr>
                <w:rFonts w:ascii="Arial"/>
                <w:b/>
                <w:sz w:val="26"/>
              </w:rPr>
            </w:pPr>
          </w:p>
          <w:p>
            <w:pPr>
              <w:pStyle w:val="TableParagraph"/>
              <w:ind w:right="100"/>
              <w:jc w:val="right"/>
              <w:rPr>
                <w:sz w:val="22"/>
              </w:rPr>
            </w:pPr>
            <w:r>
              <w:rPr>
                <w:sz w:val="22"/>
              </w:rPr>
              <w:t>1,650</w:t>
            </w:r>
          </w:p>
        </w:tc>
      </w:tr>
    </w:tbl>
    <w:p>
      <w:pPr>
        <w:spacing w:after="0"/>
        <w:jc w:val="right"/>
        <w:rPr>
          <w:sz w:val="22"/>
        </w:rPr>
        <w:sectPr>
          <w:type w:val="continuous"/>
          <w:pgSz w:w="12240" w:h="15840"/>
          <w:pgMar w:top="1340" w:bottom="1520" w:left="1220" w:right="100"/>
        </w:sectPr>
      </w:pPr>
    </w:p>
    <w:p>
      <w:pPr>
        <w:pStyle w:val="BodyText"/>
        <w:spacing w:before="2"/>
        <w:rPr>
          <w:rFonts w:ascii="Arial"/>
          <w:b/>
          <w:sz w:val="20"/>
        </w:rPr>
      </w:pPr>
    </w:p>
    <w:p>
      <w:pPr>
        <w:spacing w:before="1"/>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ACS</w:t>
      </w:r>
    </w:p>
    <w:p>
      <w:pPr>
        <w:spacing w:before="0"/>
        <w:ind w:left="335" w:right="0" w:firstLine="0"/>
        <w:jc w:val="left"/>
        <w:rPr>
          <w:rFonts w:ascii="Arial" w:hAnsi="Arial"/>
          <w:b/>
          <w:sz w:val="20"/>
        </w:rPr>
      </w:pPr>
      <w:r>
        <w:rPr/>
        <w:br w:type="column"/>
      </w:r>
      <w:r>
        <w:rPr>
          <w:rFonts w:ascii="Arial" w:hAnsi="Arial"/>
          <w:b/>
          <w:sz w:val="20"/>
        </w:rPr>
        <w:t>Table 47 – Occupations by Sector</w:t>
      </w:r>
    </w:p>
    <w:p>
      <w:pPr>
        <w:spacing w:after="0"/>
        <w:jc w:val="left"/>
        <w:rPr>
          <w:rFonts w:ascii="Arial" w:hAnsi="Arial"/>
          <w:sz w:val="20"/>
        </w:rPr>
        <w:sectPr>
          <w:type w:val="continuous"/>
          <w:pgSz w:w="12240" w:h="15840"/>
          <w:pgMar w:top="1340" w:bottom="1520" w:left="1220" w:right="100"/>
          <w:cols w:num="3" w:equalWidth="0">
            <w:col w:w="872" w:space="192"/>
            <w:col w:w="1361" w:space="540"/>
            <w:col w:w="7955"/>
          </w:cols>
        </w:sectPr>
      </w:pPr>
    </w:p>
    <w:p>
      <w:pPr>
        <w:pStyle w:val="BodyText"/>
        <w:rPr>
          <w:rFonts w:ascii="Arial"/>
          <w:b/>
          <w:sz w:val="20"/>
        </w:rPr>
      </w:pPr>
    </w:p>
    <w:p>
      <w:pPr>
        <w:pStyle w:val="BodyText"/>
        <w:spacing w:before="4"/>
        <w:rPr>
          <w:rFonts w:ascii="Arial"/>
          <w:b/>
          <w:sz w:val="20"/>
        </w:rPr>
      </w:pPr>
    </w:p>
    <w:p>
      <w:pPr>
        <w:pStyle w:val="Heading4"/>
        <w:spacing w:before="52"/>
      </w:pPr>
      <w:r>
        <w:rPr/>
        <w:t>Travel Time</w:t>
      </w:r>
    </w:p>
    <w:p>
      <w:pPr>
        <w:pStyle w:val="BodyText"/>
        <w:spacing w:before="7"/>
        <w:rPr>
          <w:b/>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44"/>
        <w:gridCol w:w="3150"/>
        <w:gridCol w:w="3156"/>
      </w:tblGrid>
      <w:tr>
        <w:trPr>
          <w:trHeight w:val="263" w:hRule="atLeast"/>
        </w:trPr>
        <w:tc>
          <w:tcPr>
            <w:tcW w:w="3044" w:type="dxa"/>
          </w:tcPr>
          <w:p>
            <w:pPr>
              <w:pStyle w:val="TableParagraph"/>
              <w:spacing w:line="242" w:lineRule="exact" w:before="1"/>
              <w:ind w:left="112"/>
              <w:rPr>
                <w:b/>
                <w:sz w:val="22"/>
              </w:rPr>
            </w:pPr>
            <w:r>
              <w:rPr>
                <w:b/>
                <w:sz w:val="22"/>
              </w:rPr>
              <w:t>Travel Time</w:t>
            </w:r>
          </w:p>
        </w:tc>
        <w:tc>
          <w:tcPr>
            <w:tcW w:w="3150" w:type="dxa"/>
          </w:tcPr>
          <w:p>
            <w:pPr>
              <w:pStyle w:val="TableParagraph"/>
              <w:spacing w:line="242" w:lineRule="exact" w:before="1"/>
              <w:ind w:left="1178" w:right="1168"/>
              <w:jc w:val="center"/>
              <w:rPr>
                <w:b/>
                <w:sz w:val="22"/>
              </w:rPr>
            </w:pPr>
            <w:r>
              <w:rPr>
                <w:b/>
                <w:sz w:val="22"/>
              </w:rPr>
              <w:t>Number</w:t>
            </w:r>
          </w:p>
        </w:tc>
        <w:tc>
          <w:tcPr>
            <w:tcW w:w="3156" w:type="dxa"/>
          </w:tcPr>
          <w:p>
            <w:pPr>
              <w:pStyle w:val="TableParagraph"/>
              <w:spacing w:line="242" w:lineRule="exact" w:before="1"/>
              <w:ind w:left="1042" w:right="1032"/>
              <w:jc w:val="center"/>
              <w:rPr>
                <w:b/>
                <w:sz w:val="22"/>
              </w:rPr>
            </w:pPr>
            <w:r>
              <w:rPr>
                <w:b/>
                <w:sz w:val="22"/>
              </w:rPr>
              <w:t>Percentage</w:t>
            </w:r>
          </w:p>
        </w:tc>
      </w:tr>
      <w:tr>
        <w:trPr>
          <w:trHeight w:val="503" w:hRule="atLeast"/>
        </w:trPr>
        <w:tc>
          <w:tcPr>
            <w:tcW w:w="3044" w:type="dxa"/>
          </w:tcPr>
          <w:p>
            <w:pPr>
              <w:pStyle w:val="TableParagraph"/>
              <w:spacing w:before="1"/>
              <w:ind w:left="112"/>
              <w:rPr>
                <w:sz w:val="22"/>
              </w:rPr>
            </w:pPr>
            <w:r>
              <w:rPr>
                <w:sz w:val="22"/>
              </w:rPr>
              <w:t>&lt; 30 Minutes</w:t>
            </w:r>
          </w:p>
        </w:tc>
        <w:tc>
          <w:tcPr>
            <w:tcW w:w="3150" w:type="dxa"/>
          </w:tcPr>
          <w:p>
            <w:pPr>
              <w:pStyle w:val="TableParagraph"/>
              <w:spacing w:before="1"/>
              <w:ind w:right="100"/>
              <w:jc w:val="right"/>
              <w:rPr>
                <w:sz w:val="22"/>
              </w:rPr>
            </w:pPr>
            <w:r>
              <w:rPr>
                <w:sz w:val="22"/>
              </w:rPr>
              <w:t>29,777</w:t>
            </w:r>
          </w:p>
        </w:tc>
        <w:tc>
          <w:tcPr>
            <w:tcW w:w="3156" w:type="dxa"/>
          </w:tcPr>
          <w:p>
            <w:pPr>
              <w:pStyle w:val="TableParagraph"/>
              <w:spacing w:before="1"/>
              <w:ind w:right="100"/>
              <w:jc w:val="right"/>
              <w:rPr>
                <w:sz w:val="22"/>
              </w:rPr>
            </w:pPr>
            <w:r>
              <w:rPr>
                <w:sz w:val="22"/>
              </w:rPr>
              <w:t>85%</w:t>
            </w:r>
          </w:p>
        </w:tc>
      </w:tr>
      <w:tr>
        <w:trPr>
          <w:trHeight w:val="503" w:hRule="atLeast"/>
        </w:trPr>
        <w:tc>
          <w:tcPr>
            <w:tcW w:w="3044" w:type="dxa"/>
          </w:tcPr>
          <w:p>
            <w:pPr>
              <w:pStyle w:val="TableParagraph"/>
              <w:spacing w:before="1"/>
              <w:ind w:left="112"/>
              <w:rPr>
                <w:sz w:val="22"/>
              </w:rPr>
            </w:pPr>
            <w:r>
              <w:rPr>
                <w:sz w:val="22"/>
              </w:rPr>
              <w:t>30-59 Minutes</w:t>
            </w:r>
          </w:p>
        </w:tc>
        <w:tc>
          <w:tcPr>
            <w:tcW w:w="3150" w:type="dxa"/>
          </w:tcPr>
          <w:p>
            <w:pPr>
              <w:pStyle w:val="TableParagraph"/>
              <w:spacing w:before="1"/>
              <w:ind w:right="100"/>
              <w:jc w:val="right"/>
              <w:rPr>
                <w:sz w:val="22"/>
              </w:rPr>
            </w:pPr>
            <w:r>
              <w:rPr>
                <w:sz w:val="22"/>
              </w:rPr>
              <w:t>4,099</w:t>
            </w:r>
          </w:p>
        </w:tc>
        <w:tc>
          <w:tcPr>
            <w:tcW w:w="3156" w:type="dxa"/>
          </w:tcPr>
          <w:p>
            <w:pPr>
              <w:pStyle w:val="TableParagraph"/>
              <w:spacing w:before="1"/>
              <w:ind w:right="100"/>
              <w:jc w:val="right"/>
              <w:rPr>
                <w:sz w:val="22"/>
              </w:rPr>
            </w:pPr>
            <w:r>
              <w:rPr>
                <w:sz w:val="22"/>
              </w:rPr>
              <w:t>12%</w:t>
            </w:r>
          </w:p>
        </w:tc>
      </w:tr>
    </w:tbl>
    <w:p>
      <w:pPr>
        <w:spacing w:after="0"/>
        <w:jc w:val="right"/>
        <w:rPr>
          <w:sz w:val="22"/>
        </w:rPr>
        <w:sectPr>
          <w:type w:val="continuous"/>
          <w:pgSz w:w="12240" w:h="15840"/>
          <w:pgMar w:top="1340" w:bottom="1520" w:left="1220" w:right="100"/>
        </w:sect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44"/>
        <w:gridCol w:w="3150"/>
        <w:gridCol w:w="3156"/>
      </w:tblGrid>
      <w:tr>
        <w:trPr>
          <w:trHeight w:val="503" w:hRule="atLeast"/>
        </w:trPr>
        <w:tc>
          <w:tcPr>
            <w:tcW w:w="3044" w:type="dxa"/>
          </w:tcPr>
          <w:p>
            <w:pPr>
              <w:pStyle w:val="TableParagraph"/>
              <w:spacing w:line="265" w:lineRule="exact"/>
              <w:ind w:left="112"/>
              <w:rPr>
                <w:sz w:val="22"/>
              </w:rPr>
            </w:pPr>
            <w:r>
              <w:rPr>
                <w:sz w:val="22"/>
              </w:rPr>
              <w:t>60 or More Minutes</w:t>
            </w:r>
          </w:p>
        </w:tc>
        <w:tc>
          <w:tcPr>
            <w:tcW w:w="3150" w:type="dxa"/>
          </w:tcPr>
          <w:p>
            <w:pPr>
              <w:pStyle w:val="TableParagraph"/>
              <w:spacing w:line="265" w:lineRule="exact"/>
              <w:ind w:right="100"/>
              <w:jc w:val="right"/>
              <w:rPr>
                <w:sz w:val="22"/>
              </w:rPr>
            </w:pPr>
            <w:r>
              <w:rPr>
                <w:sz w:val="22"/>
              </w:rPr>
              <w:t>1,346</w:t>
            </w:r>
          </w:p>
        </w:tc>
        <w:tc>
          <w:tcPr>
            <w:tcW w:w="3156" w:type="dxa"/>
          </w:tcPr>
          <w:p>
            <w:pPr>
              <w:pStyle w:val="TableParagraph"/>
              <w:spacing w:line="265" w:lineRule="exact"/>
              <w:ind w:right="100"/>
              <w:jc w:val="right"/>
              <w:rPr>
                <w:sz w:val="22"/>
              </w:rPr>
            </w:pPr>
            <w:r>
              <w:rPr>
                <w:sz w:val="22"/>
              </w:rPr>
              <w:t>4%</w:t>
            </w:r>
          </w:p>
        </w:tc>
      </w:tr>
      <w:tr>
        <w:trPr>
          <w:trHeight w:val="418" w:hRule="atLeast"/>
        </w:trPr>
        <w:tc>
          <w:tcPr>
            <w:tcW w:w="3044" w:type="dxa"/>
          </w:tcPr>
          <w:p>
            <w:pPr>
              <w:pStyle w:val="TableParagraph"/>
              <w:spacing w:line="187" w:lineRule="exact"/>
              <w:ind w:left="112"/>
              <w:rPr>
                <w:rFonts w:ascii="Verdana"/>
                <w:b/>
                <w:i/>
                <w:sz w:val="16"/>
              </w:rPr>
            </w:pPr>
            <w:r>
              <w:rPr>
                <w:rFonts w:ascii="Verdana"/>
                <w:b/>
                <w:i/>
                <w:sz w:val="16"/>
              </w:rPr>
              <w:t>Total</w:t>
            </w:r>
          </w:p>
        </w:tc>
        <w:tc>
          <w:tcPr>
            <w:tcW w:w="3150" w:type="dxa"/>
          </w:tcPr>
          <w:p>
            <w:pPr>
              <w:pStyle w:val="TableParagraph"/>
              <w:spacing w:line="187" w:lineRule="exact"/>
              <w:ind w:right="100"/>
              <w:jc w:val="right"/>
              <w:rPr>
                <w:rFonts w:ascii="Verdana"/>
                <w:b/>
                <w:i/>
                <w:sz w:val="16"/>
              </w:rPr>
            </w:pPr>
            <w:r>
              <w:rPr>
                <w:rFonts w:ascii="Verdana"/>
                <w:b/>
                <w:i/>
                <w:sz w:val="16"/>
              </w:rPr>
              <w:t>35,222</w:t>
            </w:r>
          </w:p>
        </w:tc>
        <w:tc>
          <w:tcPr>
            <w:tcW w:w="3156" w:type="dxa"/>
          </w:tcPr>
          <w:p>
            <w:pPr>
              <w:pStyle w:val="TableParagraph"/>
              <w:spacing w:line="187" w:lineRule="exact"/>
              <w:ind w:right="100"/>
              <w:jc w:val="right"/>
              <w:rPr>
                <w:rFonts w:ascii="Verdana"/>
                <w:b/>
                <w:i/>
                <w:sz w:val="16"/>
              </w:rPr>
            </w:pPr>
            <w:r>
              <w:rPr>
                <w:rFonts w:ascii="Verdana"/>
                <w:b/>
                <w:i/>
                <w:sz w:val="16"/>
              </w:rPr>
              <w:t>100%</w:t>
            </w:r>
          </w:p>
        </w:tc>
      </w:tr>
    </w:tbl>
    <w:p>
      <w:pPr>
        <w:spacing w:after="0" w:line="187" w:lineRule="exact"/>
        <w:jc w:val="right"/>
        <w:rPr>
          <w:rFonts w:ascii="Verdana"/>
          <w:sz w:val="16"/>
        </w:rPr>
        <w:sectPr>
          <w:headerReference w:type="default" r:id="rId81"/>
          <w:footerReference w:type="default" r:id="rId82"/>
          <w:pgSz w:w="12240" w:h="15840"/>
          <w:pgMar w:header="0" w:footer="1340" w:top="1440" w:bottom="1540" w:left="1220" w:right="100"/>
          <w:pgNumType w:start="84"/>
        </w:sectPr>
      </w:pPr>
    </w:p>
    <w:p>
      <w:pPr>
        <w:pStyle w:val="BodyText"/>
        <w:spacing w:before="8"/>
        <w:rPr>
          <w:b/>
          <w:sz w:val="18"/>
        </w:rPr>
      </w:pPr>
    </w:p>
    <w:p>
      <w:pPr>
        <w:spacing w:before="0"/>
        <w:ind w:left="335" w:right="20" w:firstLine="0"/>
        <w:jc w:val="left"/>
        <w:rPr>
          <w:b/>
          <w:sz w:val="16"/>
        </w:rPr>
      </w:pPr>
      <w:r>
        <w:rPr>
          <w:b/>
          <w:sz w:val="16"/>
        </w:rPr>
        <w:t>Data Source:</w:t>
      </w:r>
    </w:p>
    <w:p>
      <w:pPr>
        <w:pStyle w:val="BodyText"/>
        <w:spacing w:before="8"/>
        <w:rPr>
          <w:b/>
          <w:sz w:val="18"/>
        </w:rPr>
      </w:pPr>
      <w:r>
        <w:rPr/>
        <w:br w:type="column"/>
      </w:r>
      <w:r>
        <w:rPr>
          <w:b/>
          <w:sz w:val="18"/>
        </w:rPr>
      </w:r>
    </w:p>
    <w:p>
      <w:pPr>
        <w:spacing w:before="0"/>
        <w:ind w:left="335" w:right="0" w:firstLine="0"/>
        <w:jc w:val="left"/>
        <w:rPr>
          <w:sz w:val="16"/>
        </w:rPr>
      </w:pPr>
      <w:r>
        <w:rPr>
          <w:sz w:val="16"/>
        </w:rPr>
        <w:t>2016-2020 ACS</w:t>
      </w:r>
    </w:p>
    <w:p>
      <w:pPr>
        <w:spacing w:line="225" w:lineRule="exact" w:before="0"/>
        <w:ind w:left="335" w:right="0" w:firstLine="0"/>
        <w:jc w:val="left"/>
        <w:rPr>
          <w:rFonts w:ascii="Arial"/>
          <w:b/>
          <w:sz w:val="20"/>
        </w:rPr>
      </w:pPr>
      <w:r>
        <w:rPr/>
        <w:br w:type="column"/>
      </w:r>
      <w:r>
        <w:rPr>
          <w:rFonts w:ascii="Arial"/>
          <w:b/>
          <w:sz w:val="20"/>
        </w:rPr>
        <w:t>Table 48 - Travel Time</w:t>
      </w:r>
    </w:p>
    <w:p>
      <w:pPr>
        <w:spacing w:after="0" w:line="225" w:lineRule="exact"/>
        <w:jc w:val="left"/>
        <w:rPr>
          <w:rFonts w:ascii="Arial"/>
          <w:sz w:val="20"/>
        </w:rPr>
        <w:sectPr>
          <w:type w:val="continuous"/>
          <w:pgSz w:w="12240" w:h="15840"/>
          <w:pgMar w:top="1340" w:bottom="1520" w:left="1220" w:right="100"/>
          <w:cols w:num="3" w:equalWidth="0">
            <w:col w:w="872" w:space="192"/>
            <w:col w:w="1361" w:space="1095"/>
            <w:col w:w="7400"/>
          </w:cols>
        </w:sectPr>
      </w:pPr>
    </w:p>
    <w:p>
      <w:pPr>
        <w:pStyle w:val="BodyText"/>
        <w:rPr>
          <w:rFonts w:ascii="Arial"/>
          <w:b/>
          <w:sz w:val="20"/>
        </w:rPr>
      </w:pPr>
    </w:p>
    <w:p>
      <w:pPr>
        <w:pStyle w:val="BodyText"/>
        <w:spacing w:before="10"/>
        <w:rPr>
          <w:rFonts w:ascii="Arial"/>
          <w:b/>
        </w:rPr>
      </w:pPr>
    </w:p>
    <w:p>
      <w:pPr>
        <w:pStyle w:val="Heading4"/>
        <w:spacing w:before="51"/>
      </w:pPr>
      <w:r>
        <w:rPr/>
        <w:t>Education:</w:t>
      </w:r>
    </w:p>
    <w:p>
      <w:pPr>
        <w:pStyle w:val="BodyText"/>
        <w:rPr>
          <w:b/>
          <w:sz w:val="20"/>
        </w:rPr>
      </w:pPr>
    </w:p>
    <w:p>
      <w:pPr>
        <w:pStyle w:val="Heading5"/>
        <w:ind w:left="220" w:firstLine="0"/>
      </w:pPr>
      <w:r>
        <w:rPr/>
        <w:t>Educational Attainment by Employment Status (Population 16 and Older)</w:t>
      </w:r>
    </w:p>
    <w:p>
      <w:pPr>
        <w:pStyle w:val="BodyText"/>
        <w:spacing w:before="7" w:after="1"/>
        <w:rPr>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47"/>
        <w:gridCol w:w="1904"/>
        <w:gridCol w:w="1950"/>
        <w:gridCol w:w="1849"/>
      </w:tblGrid>
      <w:tr>
        <w:trPr>
          <w:trHeight w:val="263" w:hRule="atLeast"/>
        </w:trPr>
        <w:tc>
          <w:tcPr>
            <w:tcW w:w="3647" w:type="dxa"/>
            <w:vMerge w:val="restart"/>
          </w:tcPr>
          <w:p>
            <w:pPr>
              <w:pStyle w:val="TableParagraph"/>
              <w:spacing w:before="1"/>
              <w:ind w:left="734"/>
              <w:rPr>
                <w:b/>
                <w:sz w:val="22"/>
              </w:rPr>
            </w:pPr>
            <w:r>
              <w:rPr>
                <w:b/>
                <w:sz w:val="22"/>
              </w:rPr>
              <w:t>Educational Attainment</w:t>
            </w:r>
          </w:p>
        </w:tc>
        <w:tc>
          <w:tcPr>
            <w:tcW w:w="3854" w:type="dxa"/>
            <w:gridSpan w:val="2"/>
          </w:tcPr>
          <w:p>
            <w:pPr>
              <w:pStyle w:val="TableParagraph"/>
              <w:spacing w:line="242" w:lineRule="exact" w:before="1"/>
              <w:ind w:left="1278"/>
              <w:rPr>
                <w:b/>
                <w:sz w:val="22"/>
              </w:rPr>
            </w:pPr>
            <w:r>
              <w:rPr>
                <w:b/>
                <w:sz w:val="22"/>
              </w:rPr>
              <w:t>In Labor Force</w:t>
            </w:r>
          </w:p>
        </w:tc>
        <w:tc>
          <w:tcPr>
            <w:tcW w:w="1849" w:type="dxa"/>
          </w:tcPr>
          <w:p>
            <w:pPr>
              <w:pStyle w:val="TableParagraph"/>
              <w:rPr>
                <w:rFonts w:ascii="Times New Roman"/>
                <w:sz w:val="18"/>
              </w:rPr>
            </w:pPr>
          </w:p>
        </w:tc>
      </w:tr>
      <w:tr>
        <w:trPr>
          <w:trHeight w:val="532" w:hRule="atLeast"/>
        </w:trPr>
        <w:tc>
          <w:tcPr>
            <w:tcW w:w="3647" w:type="dxa"/>
            <w:vMerge/>
            <w:tcBorders>
              <w:top w:val="nil"/>
            </w:tcBorders>
          </w:tcPr>
          <w:p>
            <w:pPr>
              <w:rPr>
                <w:sz w:val="2"/>
                <w:szCs w:val="2"/>
              </w:rPr>
            </w:pPr>
          </w:p>
        </w:tc>
        <w:tc>
          <w:tcPr>
            <w:tcW w:w="1904" w:type="dxa"/>
          </w:tcPr>
          <w:p>
            <w:pPr>
              <w:pStyle w:val="TableParagraph"/>
              <w:spacing w:before="1"/>
              <w:ind w:right="126"/>
              <w:jc w:val="right"/>
              <w:rPr>
                <w:b/>
                <w:sz w:val="22"/>
              </w:rPr>
            </w:pPr>
            <w:r>
              <w:rPr>
                <w:b/>
                <w:sz w:val="22"/>
              </w:rPr>
              <w:t>Civilian Employed</w:t>
            </w:r>
          </w:p>
        </w:tc>
        <w:tc>
          <w:tcPr>
            <w:tcW w:w="1950" w:type="dxa"/>
          </w:tcPr>
          <w:p>
            <w:pPr>
              <w:pStyle w:val="TableParagraph"/>
              <w:spacing w:before="1"/>
              <w:ind w:left="385"/>
              <w:rPr>
                <w:b/>
                <w:sz w:val="22"/>
              </w:rPr>
            </w:pPr>
            <w:r>
              <w:rPr>
                <w:b/>
                <w:sz w:val="22"/>
              </w:rPr>
              <w:t>Unemployed</w:t>
            </w:r>
          </w:p>
        </w:tc>
        <w:tc>
          <w:tcPr>
            <w:tcW w:w="1849" w:type="dxa"/>
          </w:tcPr>
          <w:p>
            <w:pPr>
              <w:pStyle w:val="TableParagraph"/>
              <w:spacing w:line="270" w:lineRule="atLeast"/>
              <w:ind w:left="671" w:right="329" w:hanging="314"/>
              <w:rPr>
                <w:b/>
                <w:sz w:val="22"/>
              </w:rPr>
            </w:pPr>
            <w:r>
              <w:rPr>
                <w:b/>
                <w:sz w:val="22"/>
              </w:rPr>
              <w:t>Not in Labor Force</w:t>
            </w:r>
          </w:p>
        </w:tc>
      </w:tr>
      <w:tr>
        <w:trPr>
          <w:trHeight w:val="495" w:hRule="atLeast"/>
        </w:trPr>
        <w:tc>
          <w:tcPr>
            <w:tcW w:w="3647" w:type="dxa"/>
          </w:tcPr>
          <w:p>
            <w:pPr>
              <w:pStyle w:val="TableParagraph"/>
              <w:spacing w:line="262" w:lineRule="exact"/>
              <w:ind w:left="112"/>
              <w:rPr>
                <w:sz w:val="22"/>
              </w:rPr>
            </w:pPr>
            <w:r>
              <w:rPr>
                <w:sz w:val="22"/>
              </w:rPr>
              <w:t>Less than high school graduate</w:t>
            </w:r>
          </w:p>
        </w:tc>
        <w:tc>
          <w:tcPr>
            <w:tcW w:w="1904" w:type="dxa"/>
          </w:tcPr>
          <w:p>
            <w:pPr>
              <w:pStyle w:val="TableParagraph"/>
              <w:spacing w:line="262" w:lineRule="exact"/>
              <w:ind w:right="100"/>
              <w:jc w:val="right"/>
              <w:rPr>
                <w:sz w:val="22"/>
              </w:rPr>
            </w:pPr>
            <w:r>
              <w:rPr>
                <w:sz w:val="22"/>
              </w:rPr>
              <w:t>1,040</w:t>
            </w:r>
          </w:p>
        </w:tc>
        <w:tc>
          <w:tcPr>
            <w:tcW w:w="1950" w:type="dxa"/>
          </w:tcPr>
          <w:p>
            <w:pPr>
              <w:pStyle w:val="TableParagraph"/>
              <w:spacing w:line="262" w:lineRule="exact"/>
              <w:ind w:right="100"/>
              <w:jc w:val="right"/>
              <w:rPr>
                <w:sz w:val="22"/>
              </w:rPr>
            </w:pPr>
            <w:r>
              <w:rPr>
                <w:sz w:val="22"/>
              </w:rPr>
              <w:t>125</w:t>
            </w:r>
          </w:p>
        </w:tc>
        <w:tc>
          <w:tcPr>
            <w:tcW w:w="1849" w:type="dxa"/>
          </w:tcPr>
          <w:p>
            <w:pPr>
              <w:pStyle w:val="TableParagraph"/>
              <w:spacing w:line="262" w:lineRule="exact"/>
              <w:ind w:right="100"/>
              <w:jc w:val="right"/>
              <w:rPr>
                <w:sz w:val="22"/>
              </w:rPr>
            </w:pPr>
            <w:r>
              <w:rPr>
                <w:sz w:val="22"/>
              </w:rPr>
              <w:t>845</w:t>
            </w:r>
          </w:p>
        </w:tc>
      </w:tr>
      <w:tr>
        <w:trPr>
          <w:trHeight w:val="812" w:hRule="atLeast"/>
        </w:trPr>
        <w:tc>
          <w:tcPr>
            <w:tcW w:w="3647" w:type="dxa"/>
          </w:tcPr>
          <w:p>
            <w:pPr>
              <w:pStyle w:val="TableParagraph"/>
              <w:spacing w:line="276" w:lineRule="auto" w:before="1"/>
              <w:ind w:left="112" w:right="758"/>
              <w:rPr>
                <w:sz w:val="22"/>
              </w:rPr>
            </w:pPr>
            <w:r>
              <w:rPr>
                <w:sz w:val="22"/>
              </w:rPr>
              <w:t>High school graduate (includes equivalency)</w:t>
            </w:r>
          </w:p>
        </w:tc>
        <w:tc>
          <w:tcPr>
            <w:tcW w:w="1904" w:type="dxa"/>
          </w:tcPr>
          <w:p>
            <w:pPr>
              <w:pStyle w:val="TableParagraph"/>
              <w:spacing w:before="5"/>
              <w:rPr>
                <w:sz w:val="25"/>
              </w:rPr>
            </w:pPr>
          </w:p>
          <w:p>
            <w:pPr>
              <w:pStyle w:val="TableParagraph"/>
              <w:ind w:right="100"/>
              <w:jc w:val="right"/>
              <w:rPr>
                <w:sz w:val="22"/>
              </w:rPr>
            </w:pPr>
            <w:r>
              <w:rPr>
                <w:sz w:val="22"/>
              </w:rPr>
              <w:t>2,960</w:t>
            </w:r>
          </w:p>
        </w:tc>
        <w:tc>
          <w:tcPr>
            <w:tcW w:w="1950" w:type="dxa"/>
          </w:tcPr>
          <w:p>
            <w:pPr>
              <w:pStyle w:val="TableParagraph"/>
              <w:spacing w:before="5"/>
              <w:rPr>
                <w:sz w:val="25"/>
              </w:rPr>
            </w:pPr>
          </w:p>
          <w:p>
            <w:pPr>
              <w:pStyle w:val="TableParagraph"/>
              <w:ind w:right="100"/>
              <w:jc w:val="right"/>
              <w:rPr>
                <w:sz w:val="22"/>
              </w:rPr>
            </w:pPr>
            <w:r>
              <w:rPr>
                <w:sz w:val="22"/>
              </w:rPr>
              <w:t>385</w:t>
            </w:r>
          </w:p>
        </w:tc>
        <w:tc>
          <w:tcPr>
            <w:tcW w:w="1849" w:type="dxa"/>
          </w:tcPr>
          <w:p>
            <w:pPr>
              <w:pStyle w:val="TableParagraph"/>
              <w:spacing w:before="5"/>
              <w:rPr>
                <w:sz w:val="25"/>
              </w:rPr>
            </w:pPr>
          </w:p>
          <w:p>
            <w:pPr>
              <w:pStyle w:val="TableParagraph"/>
              <w:ind w:right="100"/>
              <w:jc w:val="right"/>
              <w:rPr>
                <w:sz w:val="22"/>
              </w:rPr>
            </w:pPr>
            <w:r>
              <w:rPr>
                <w:sz w:val="22"/>
              </w:rPr>
              <w:t>1,685</w:t>
            </w:r>
          </w:p>
        </w:tc>
      </w:tr>
      <w:tr>
        <w:trPr>
          <w:trHeight w:val="503" w:hRule="atLeast"/>
        </w:trPr>
        <w:tc>
          <w:tcPr>
            <w:tcW w:w="3647" w:type="dxa"/>
          </w:tcPr>
          <w:p>
            <w:pPr>
              <w:pStyle w:val="TableParagraph"/>
              <w:spacing w:before="1"/>
              <w:ind w:left="112"/>
              <w:rPr>
                <w:sz w:val="22"/>
              </w:rPr>
            </w:pPr>
            <w:r>
              <w:rPr>
                <w:sz w:val="22"/>
              </w:rPr>
              <w:t>Some college or Associate's degree</w:t>
            </w:r>
          </w:p>
        </w:tc>
        <w:tc>
          <w:tcPr>
            <w:tcW w:w="1904" w:type="dxa"/>
          </w:tcPr>
          <w:p>
            <w:pPr>
              <w:pStyle w:val="TableParagraph"/>
              <w:spacing w:before="1"/>
              <w:ind w:right="100"/>
              <w:jc w:val="right"/>
              <w:rPr>
                <w:sz w:val="22"/>
              </w:rPr>
            </w:pPr>
            <w:r>
              <w:rPr>
                <w:sz w:val="22"/>
              </w:rPr>
              <w:t>5,095</w:t>
            </w:r>
          </w:p>
        </w:tc>
        <w:tc>
          <w:tcPr>
            <w:tcW w:w="1950" w:type="dxa"/>
          </w:tcPr>
          <w:p>
            <w:pPr>
              <w:pStyle w:val="TableParagraph"/>
              <w:spacing w:before="1"/>
              <w:ind w:right="100"/>
              <w:jc w:val="right"/>
              <w:rPr>
                <w:sz w:val="22"/>
              </w:rPr>
            </w:pPr>
            <w:r>
              <w:rPr>
                <w:sz w:val="22"/>
              </w:rPr>
              <w:t>195</w:t>
            </w:r>
          </w:p>
        </w:tc>
        <w:tc>
          <w:tcPr>
            <w:tcW w:w="1849" w:type="dxa"/>
          </w:tcPr>
          <w:p>
            <w:pPr>
              <w:pStyle w:val="TableParagraph"/>
              <w:spacing w:before="1"/>
              <w:ind w:right="100"/>
              <w:jc w:val="right"/>
              <w:rPr>
                <w:sz w:val="22"/>
              </w:rPr>
            </w:pPr>
            <w:r>
              <w:rPr>
                <w:sz w:val="22"/>
              </w:rPr>
              <w:t>1,865</w:t>
            </w:r>
          </w:p>
        </w:tc>
      </w:tr>
      <w:tr>
        <w:trPr>
          <w:trHeight w:val="503" w:hRule="atLeast"/>
        </w:trPr>
        <w:tc>
          <w:tcPr>
            <w:tcW w:w="3647" w:type="dxa"/>
          </w:tcPr>
          <w:p>
            <w:pPr>
              <w:pStyle w:val="TableParagraph"/>
              <w:spacing w:before="1"/>
              <w:ind w:left="112"/>
              <w:rPr>
                <w:sz w:val="22"/>
              </w:rPr>
            </w:pPr>
            <w:r>
              <w:rPr>
                <w:sz w:val="22"/>
              </w:rPr>
              <w:t>Bachelor's degree or higher</w:t>
            </w:r>
          </w:p>
        </w:tc>
        <w:tc>
          <w:tcPr>
            <w:tcW w:w="1904" w:type="dxa"/>
          </w:tcPr>
          <w:p>
            <w:pPr>
              <w:pStyle w:val="TableParagraph"/>
              <w:spacing w:before="1"/>
              <w:ind w:right="100"/>
              <w:jc w:val="right"/>
              <w:rPr>
                <w:sz w:val="22"/>
              </w:rPr>
            </w:pPr>
            <w:r>
              <w:rPr>
                <w:sz w:val="22"/>
              </w:rPr>
              <w:t>14,900</w:t>
            </w:r>
          </w:p>
        </w:tc>
        <w:tc>
          <w:tcPr>
            <w:tcW w:w="1950" w:type="dxa"/>
          </w:tcPr>
          <w:p>
            <w:pPr>
              <w:pStyle w:val="TableParagraph"/>
              <w:spacing w:before="1"/>
              <w:ind w:right="100"/>
              <w:jc w:val="right"/>
              <w:rPr>
                <w:sz w:val="22"/>
              </w:rPr>
            </w:pPr>
            <w:r>
              <w:rPr>
                <w:sz w:val="22"/>
              </w:rPr>
              <w:t>280</w:t>
            </w:r>
          </w:p>
        </w:tc>
        <w:tc>
          <w:tcPr>
            <w:tcW w:w="1849" w:type="dxa"/>
          </w:tcPr>
          <w:p>
            <w:pPr>
              <w:pStyle w:val="TableParagraph"/>
              <w:spacing w:before="1"/>
              <w:ind w:right="100"/>
              <w:jc w:val="right"/>
              <w:rPr>
                <w:sz w:val="22"/>
              </w:rPr>
            </w:pPr>
            <w:r>
              <w:rPr>
                <w:sz w:val="22"/>
              </w:rPr>
              <w:t>2,425</w:t>
            </w:r>
          </w:p>
        </w:tc>
      </w:tr>
    </w:tbl>
    <w:p>
      <w:pPr>
        <w:spacing w:after="0"/>
        <w:jc w:val="right"/>
        <w:rPr>
          <w:sz w:val="22"/>
        </w:rPr>
        <w:sectPr>
          <w:type w:val="continuous"/>
          <w:pgSz w:w="12240" w:h="15840"/>
          <w:pgMar w:top="1340" w:bottom="1520" w:left="1220" w:right="100"/>
        </w:sectPr>
      </w:pPr>
    </w:p>
    <w:p>
      <w:pPr>
        <w:pStyle w:val="BodyText"/>
        <w:spacing w:before="1"/>
        <w:rPr>
          <w:sz w:val="19"/>
        </w:rPr>
      </w:pPr>
    </w:p>
    <w:p>
      <w:pPr>
        <w:spacing w:before="0"/>
        <w:ind w:left="335" w:right="20" w:firstLine="0"/>
        <w:jc w:val="left"/>
        <w:rPr>
          <w:b/>
          <w:sz w:val="16"/>
        </w:rPr>
      </w:pPr>
      <w:r>
        <w:rPr>
          <w:b/>
          <w:sz w:val="16"/>
        </w:rPr>
        <w:t>Data Source:</w:t>
      </w:r>
    </w:p>
    <w:p>
      <w:pPr>
        <w:spacing w:before="0"/>
        <w:ind w:left="1124" w:right="0" w:firstLine="0"/>
        <w:jc w:val="left"/>
        <w:rPr>
          <w:rFonts w:ascii="Arial"/>
          <w:b/>
          <w:sz w:val="20"/>
        </w:rPr>
      </w:pPr>
      <w:r>
        <w:rPr/>
        <w:br w:type="column"/>
      </w:r>
      <w:r>
        <w:rPr>
          <w:rFonts w:ascii="Arial"/>
          <w:b/>
          <w:sz w:val="20"/>
        </w:rPr>
        <w:t>Table 49 - Educational Attainment by Employment Status</w:t>
      </w:r>
    </w:p>
    <w:p>
      <w:pPr>
        <w:spacing w:before="3"/>
        <w:ind w:left="335" w:right="0" w:firstLine="0"/>
        <w:jc w:val="left"/>
        <w:rPr>
          <w:sz w:val="16"/>
        </w:rPr>
      </w:pPr>
      <w:r>
        <w:rPr>
          <w:sz w:val="16"/>
        </w:rPr>
        <w:t>2016-2020 ACS</w:t>
      </w:r>
    </w:p>
    <w:p>
      <w:pPr>
        <w:spacing w:after="0"/>
        <w:jc w:val="left"/>
        <w:rPr>
          <w:sz w:val="16"/>
        </w:rPr>
        <w:sectPr>
          <w:type w:val="continuous"/>
          <w:pgSz w:w="12240" w:h="15840"/>
          <w:pgMar w:top="1340" w:bottom="1520" w:left="1220" w:right="100"/>
          <w:cols w:num="2" w:equalWidth="0">
            <w:col w:w="872" w:space="192"/>
            <w:col w:w="9856"/>
          </w:cols>
        </w:sectPr>
      </w:pPr>
    </w:p>
    <w:p>
      <w:pPr>
        <w:pStyle w:val="BodyText"/>
        <w:rPr>
          <w:sz w:val="20"/>
        </w:rPr>
      </w:pPr>
    </w:p>
    <w:p>
      <w:pPr>
        <w:pStyle w:val="BodyText"/>
        <w:spacing w:before="4"/>
        <w:rPr>
          <w:sz w:val="20"/>
        </w:rPr>
      </w:pPr>
    </w:p>
    <w:p>
      <w:pPr>
        <w:pStyle w:val="Heading5"/>
        <w:spacing w:before="52"/>
        <w:ind w:left="220" w:firstLine="0"/>
      </w:pPr>
      <w:r>
        <w:rPr/>
        <w:t>Educational Attainment by Age</w:t>
      </w:r>
    </w:p>
    <w:p>
      <w:pPr>
        <w:pStyle w:val="BodyText"/>
        <w:spacing w:before="7"/>
        <w:rPr>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8"/>
        <w:gridCol w:w="1245"/>
        <w:gridCol w:w="1217"/>
        <w:gridCol w:w="1216"/>
        <w:gridCol w:w="1217"/>
        <w:gridCol w:w="1217"/>
      </w:tblGrid>
      <w:tr>
        <w:trPr>
          <w:trHeight w:val="263" w:hRule="atLeast"/>
        </w:trPr>
        <w:tc>
          <w:tcPr>
            <w:tcW w:w="3238" w:type="dxa"/>
            <w:vMerge w:val="restart"/>
          </w:tcPr>
          <w:p>
            <w:pPr>
              <w:pStyle w:val="TableParagraph"/>
              <w:rPr>
                <w:rFonts w:ascii="Times New Roman"/>
                <w:sz w:val="20"/>
              </w:rPr>
            </w:pPr>
          </w:p>
        </w:tc>
        <w:tc>
          <w:tcPr>
            <w:tcW w:w="6112" w:type="dxa"/>
            <w:gridSpan w:val="5"/>
          </w:tcPr>
          <w:p>
            <w:pPr>
              <w:pStyle w:val="TableParagraph"/>
              <w:spacing w:line="242" w:lineRule="exact" w:before="1"/>
              <w:ind w:left="2859" w:right="2849"/>
              <w:jc w:val="center"/>
              <w:rPr>
                <w:b/>
                <w:sz w:val="22"/>
              </w:rPr>
            </w:pPr>
            <w:r>
              <w:rPr>
                <w:b/>
                <w:sz w:val="22"/>
              </w:rPr>
              <w:t>Age</w:t>
            </w:r>
          </w:p>
        </w:tc>
      </w:tr>
      <w:tr>
        <w:trPr>
          <w:trHeight w:val="263" w:hRule="atLeast"/>
        </w:trPr>
        <w:tc>
          <w:tcPr>
            <w:tcW w:w="3238" w:type="dxa"/>
            <w:vMerge/>
            <w:tcBorders>
              <w:top w:val="nil"/>
            </w:tcBorders>
          </w:tcPr>
          <w:p>
            <w:pPr>
              <w:rPr>
                <w:sz w:val="2"/>
                <w:szCs w:val="2"/>
              </w:rPr>
            </w:pPr>
          </w:p>
        </w:tc>
        <w:tc>
          <w:tcPr>
            <w:tcW w:w="1245" w:type="dxa"/>
          </w:tcPr>
          <w:p>
            <w:pPr>
              <w:pStyle w:val="TableParagraph"/>
              <w:spacing w:line="242" w:lineRule="exact" w:before="1"/>
              <w:ind w:left="182"/>
              <w:rPr>
                <w:b/>
                <w:sz w:val="22"/>
              </w:rPr>
            </w:pPr>
            <w:r>
              <w:rPr>
                <w:b/>
                <w:sz w:val="22"/>
              </w:rPr>
              <w:t>18–24 yrs</w:t>
            </w:r>
          </w:p>
        </w:tc>
        <w:tc>
          <w:tcPr>
            <w:tcW w:w="1217" w:type="dxa"/>
          </w:tcPr>
          <w:p>
            <w:pPr>
              <w:pStyle w:val="TableParagraph"/>
              <w:spacing w:line="242" w:lineRule="exact" w:before="1"/>
              <w:ind w:right="156"/>
              <w:jc w:val="right"/>
              <w:rPr>
                <w:b/>
                <w:sz w:val="22"/>
              </w:rPr>
            </w:pPr>
            <w:r>
              <w:rPr>
                <w:b/>
                <w:sz w:val="22"/>
              </w:rPr>
              <w:t>25–34 yrs</w:t>
            </w:r>
          </w:p>
        </w:tc>
        <w:tc>
          <w:tcPr>
            <w:tcW w:w="1216" w:type="dxa"/>
          </w:tcPr>
          <w:p>
            <w:pPr>
              <w:pStyle w:val="TableParagraph"/>
              <w:spacing w:line="242" w:lineRule="exact" w:before="1"/>
              <w:ind w:left="167"/>
              <w:rPr>
                <w:b/>
                <w:sz w:val="22"/>
              </w:rPr>
            </w:pPr>
            <w:r>
              <w:rPr>
                <w:b/>
                <w:sz w:val="22"/>
              </w:rPr>
              <w:t>35–44 yrs</w:t>
            </w:r>
          </w:p>
        </w:tc>
        <w:tc>
          <w:tcPr>
            <w:tcW w:w="1217" w:type="dxa"/>
          </w:tcPr>
          <w:p>
            <w:pPr>
              <w:pStyle w:val="TableParagraph"/>
              <w:spacing w:line="242" w:lineRule="exact" w:before="1"/>
              <w:ind w:right="156"/>
              <w:jc w:val="right"/>
              <w:rPr>
                <w:b/>
                <w:sz w:val="22"/>
              </w:rPr>
            </w:pPr>
            <w:r>
              <w:rPr>
                <w:b/>
                <w:sz w:val="22"/>
              </w:rPr>
              <w:t>45–65 yrs</w:t>
            </w:r>
          </w:p>
        </w:tc>
        <w:tc>
          <w:tcPr>
            <w:tcW w:w="1217" w:type="dxa"/>
          </w:tcPr>
          <w:p>
            <w:pPr>
              <w:pStyle w:val="TableParagraph"/>
              <w:spacing w:line="242" w:lineRule="exact" w:before="1"/>
              <w:ind w:left="279"/>
              <w:rPr>
                <w:b/>
                <w:sz w:val="22"/>
              </w:rPr>
            </w:pPr>
            <w:r>
              <w:rPr>
                <w:b/>
                <w:sz w:val="22"/>
              </w:rPr>
              <w:t>65+ yrs</w:t>
            </w:r>
          </w:p>
        </w:tc>
      </w:tr>
      <w:tr>
        <w:trPr>
          <w:trHeight w:val="503" w:hRule="atLeast"/>
        </w:trPr>
        <w:tc>
          <w:tcPr>
            <w:tcW w:w="3238" w:type="dxa"/>
          </w:tcPr>
          <w:p>
            <w:pPr>
              <w:pStyle w:val="TableParagraph"/>
              <w:spacing w:before="1"/>
              <w:ind w:left="112"/>
              <w:rPr>
                <w:sz w:val="22"/>
              </w:rPr>
            </w:pPr>
            <w:r>
              <w:rPr>
                <w:sz w:val="22"/>
              </w:rPr>
              <w:t>Less than 9th grade</w:t>
            </w:r>
          </w:p>
        </w:tc>
        <w:tc>
          <w:tcPr>
            <w:tcW w:w="1245" w:type="dxa"/>
          </w:tcPr>
          <w:p>
            <w:pPr>
              <w:pStyle w:val="TableParagraph"/>
              <w:spacing w:before="1"/>
              <w:ind w:right="100"/>
              <w:jc w:val="right"/>
              <w:rPr>
                <w:sz w:val="22"/>
              </w:rPr>
            </w:pPr>
            <w:r>
              <w:rPr>
                <w:sz w:val="22"/>
              </w:rPr>
              <w:t>74</w:t>
            </w:r>
          </w:p>
        </w:tc>
        <w:tc>
          <w:tcPr>
            <w:tcW w:w="1217" w:type="dxa"/>
          </w:tcPr>
          <w:p>
            <w:pPr>
              <w:pStyle w:val="TableParagraph"/>
              <w:spacing w:before="1"/>
              <w:ind w:right="100"/>
              <w:jc w:val="right"/>
              <w:rPr>
                <w:sz w:val="22"/>
              </w:rPr>
            </w:pPr>
            <w:r>
              <w:rPr>
                <w:sz w:val="22"/>
              </w:rPr>
              <w:t>195</w:t>
            </w:r>
          </w:p>
        </w:tc>
        <w:tc>
          <w:tcPr>
            <w:tcW w:w="1216" w:type="dxa"/>
          </w:tcPr>
          <w:p>
            <w:pPr>
              <w:pStyle w:val="TableParagraph"/>
              <w:spacing w:before="1"/>
              <w:ind w:right="100"/>
              <w:jc w:val="right"/>
              <w:rPr>
                <w:sz w:val="22"/>
              </w:rPr>
            </w:pPr>
            <w:r>
              <w:rPr>
                <w:sz w:val="22"/>
              </w:rPr>
              <w:t>223</w:t>
            </w:r>
          </w:p>
        </w:tc>
        <w:tc>
          <w:tcPr>
            <w:tcW w:w="1217" w:type="dxa"/>
          </w:tcPr>
          <w:p>
            <w:pPr>
              <w:pStyle w:val="TableParagraph"/>
              <w:spacing w:before="1"/>
              <w:ind w:right="100"/>
              <w:jc w:val="right"/>
              <w:rPr>
                <w:sz w:val="22"/>
              </w:rPr>
            </w:pPr>
            <w:r>
              <w:rPr>
                <w:sz w:val="22"/>
              </w:rPr>
              <w:t>115</w:t>
            </w:r>
          </w:p>
        </w:tc>
        <w:tc>
          <w:tcPr>
            <w:tcW w:w="1217" w:type="dxa"/>
          </w:tcPr>
          <w:p>
            <w:pPr>
              <w:pStyle w:val="TableParagraph"/>
              <w:spacing w:before="1"/>
              <w:ind w:right="100"/>
              <w:jc w:val="right"/>
              <w:rPr>
                <w:sz w:val="22"/>
              </w:rPr>
            </w:pPr>
            <w:r>
              <w:rPr>
                <w:sz w:val="22"/>
              </w:rPr>
              <w:t>235</w:t>
            </w:r>
          </w:p>
        </w:tc>
      </w:tr>
      <w:tr>
        <w:trPr>
          <w:trHeight w:val="503" w:hRule="atLeast"/>
        </w:trPr>
        <w:tc>
          <w:tcPr>
            <w:tcW w:w="3238" w:type="dxa"/>
          </w:tcPr>
          <w:p>
            <w:pPr>
              <w:pStyle w:val="TableParagraph"/>
              <w:spacing w:before="1"/>
              <w:ind w:left="112"/>
              <w:rPr>
                <w:sz w:val="22"/>
              </w:rPr>
            </w:pPr>
            <w:r>
              <w:rPr>
                <w:sz w:val="22"/>
              </w:rPr>
              <w:t>9th to 12th grade, no diploma</w:t>
            </w:r>
          </w:p>
        </w:tc>
        <w:tc>
          <w:tcPr>
            <w:tcW w:w="1245" w:type="dxa"/>
          </w:tcPr>
          <w:p>
            <w:pPr>
              <w:pStyle w:val="TableParagraph"/>
              <w:spacing w:before="1"/>
              <w:ind w:right="100"/>
              <w:jc w:val="right"/>
              <w:rPr>
                <w:sz w:val="22"/>
              </w:rPr>
            </w:pPr>
            <w:r>
              <w:rPr>
                <w:sz w:val="22"/>
              </w:rPr>
              <w:t>599</w:t>
            </w:r>
          </w:p>
        </w:tc>
        <w:tc>
          <w:tcPr>
            <w:tcW w:w="1217" w:type="dxa"/>
          </w:tcPr>
          <w:p>
            <w:pPr>
              <w:pStyle w:val="TableParagraph"/>
              <w:spacing w:before="1"/>
              <w:ind w:right="100"/>
              <w:jc w:val="right"/>
              <w:rPr>
                <w:sz w:val="22"/>
              </w:rPr>
            </w:pPr>
            <w:r>
              <w:rPr>
                <w:sz w:val="22"/>
              </w:rPr>
              <w:t>335</w:t>
            </w:r>
          </w:p>
        </w:tc>
        <w:tc>
          <w:tcPr>
            <w:tcW w:w="1216" w:type="dxa"/>
          </w:tcPr>
          <w:p>
            <w:pPr>
              <w:pStyle w:val="TableParagraph"/>
              <w:spacing w:before="1"/>
              <w:ind w:right="100"/>
              <w:jc w:val="right"/>
              <w:rPr>
                <w:sz w:val="22"/>
              </w:rPr>
            </w:pPr>
            <w:r>
              <w:rPr>
                <w:sz w:val="22"/>
              </w:rPr>
              <w:t>565</w:t>
            </w:r>
          </w:p>
        </w:tc>
        <w:tc>
          <w:tcPr>
            <w:tcW w:w="1217" w:type="dxa"/>
          </w:tcPr>
          <w:p>
            <w:pPr>
              <w:pStyle w:val="TableParagraph"/>
              <w:spacing w:before="1"/>
              <w:ind w:right="100"/>
              <w:jc w:val="right"/>
              <w:rPr>
                <w:sz w:val="22"/>
              </w:rPr>
            </w:pPr>
            <w:r>
              <w:rPr>
                <w:sz w:val="22"/>
              </w:rPr>
              <w:t>565</w:t>
            </w:r>
          </w:p>
        </w:tc>
        <w:tc>
          <w:tcPr>
            <w:tcW w:w="1217" w:type="dxa"/>
          </w:tcPr>
          <w:p>
            <w:pPr>
              <w:pStyle w:val="TableParagraph"/>
              <w:spacing w:before="1"/>
              <w:ind w:right="100"/>
              <w:jc w:val="right"/>
              <w:rPr>
                <w:sz w:val="22"/>
              </w:rPr>
            </w:pPr>
            <w:r>
              <w:rPr>
                <w:sz w:val="22"/>
              </w:rPr>
              <w:t>380</w:t>
            </w:r>
          </w:p>
        </w:tc>
      </w:tr>
      <w:tr>
        <w:trPr>
          <w:trHeight w:val="812" w:hRule="atLeast"/>
        </w:trPr>
        <w:tc>
          <w:tcPr>
            <w:tcW w:w="3238" w:type="dxa"/>
          </w:tcPr>
          <w:p>
            <w:pPr>
              <w:pStyle w:val="TableParagraph"/>
              <w:spacing w:line="276" w:lineRule="auto" w:before="1"/>
              <w:ind w:left="112" w:right="418"/>
              <w:rPr>
                <w:sz w:val="22"/>
              </w:rPr>
            </w:pPr>
            <w:r>
              <w:rPr>
                <w:sz w:val="22"/>
              </w:rPr>
              <w:t>High school graduate, GED, or alternative</w:t>
            </w:r>
          </w:p>
        </w:tc>
        <w:tc>
          <w:tcPr>
            <w:tcW w:w="1245" w:type="dxa"/>
          </w:tcPr>
          <w:p>
            <w:pPr>
              <w:pStyle w:val="TableParagraph"/>
              <w:spacing w:before="5"/>
              <w:rPr>
                <w:sz w:val="25"/>
              </w:rPr>
            </w:pPr>
          </w:p>
          <w:p>
            <w:pPr>
              <w:pStyle w:val="TableParagraph"/>
              <w:ind w:right="100"/>
              <w:jc w:val="right"/>
              <w:rPr>
                <w:sz w:val="22"/>
              </w:rPr>
            </w:pPr>
            <w:r>
              <w:rPr>
                <w:sz w:val="22"/>
              </w:rPr>
              <w:t>5,215</w:t>
            </w:r>
          </w:p>
        </w:tc>
        <w:tc>
          <w:tcPr>
            <w:tcW w:w="1217" w:type="dxa"/>
          </w:tcPr>
          <w:p>
            <w:pPr>
              <w:pStyle w:val="TableParagraph"/>
              <w:spacing w:before="5"/>
              <w:rPr>
                <w:sz w:val="25"/>
              </w:rPr>
            </w:pPr>
          </w:p>
          <w:p>
            <w:pPr>
              <w:pStyle w:val="TableParagraph"/>
              <w:ind w:right="100"/>
              <w:jc w:val="right"/>
              <w:rPr>
                <w:sz w:val="22"/>
              </w:rPr>
            </w:pPr>
            <w:r>
              <w:rPr>
                <w:sz w:val="22"/>
              </w:rPr>
              <w:t>1,690</w:t>
            </w:r>
          </w:p>
        </w:tc>
        <w:tc>
          <w:tcPr>
            <w:tcW w:w="1216" w:type="dxa"/>
          </w:tcPr>
          <w:p>
            <w:pPr>
              <w:pStyle w:val="TableParagraph"/>
              <w:spacing w:before="5"/>
              <w:rPr>
                <w:sz w:val="25"/>
              </w:rPr>
            </w:pPr>
          </w:p>
          <w:p>
            <w:pPr>
              <w:pStyle w:val="TableParagraph"/>
              <w:ind w:right="100"/>
              <w:jc w:val="right"/>
              <w:rPr>
                <w:sz w:val="22"/>
              </w:rPr>
            </w:pPr>
            <w:r>
              <w:rPr>
                <w:sz w:val="22"/>
              </w:rPr>
              <w:t>949</w:t>
            </w:r>
          </w:p>
        </w:tc>
        <w:tc>
          <w:tcPr>
            <w:tcW w:w="1217" w:type="dxa"/>
          </w:tcPr>
          <w:p>
            <w:pPr>
              <w:pStyle w:val="TableParagraph"/>
              <w:spacing w:before="5"/>
              <w:rPr>
                <w:sz w:val="25"/>
              </w:rPr>
            </w:pPr>
          </w:p>
          <w:p>
            <w:pPr>
              <w:pStyle w:val="TableParagraph"/>
              <w:ind w:right="100"/>
              <w:jc w:val="right"/>
              <w:rPr>
                <w:sz w:val="22"/>
              </w:rPr>
            </w:pPr>
            <w:r>
              <w:rPr>
                <w:sz w:val="22"/>
              </w:rPr>
              <w:t>2,390</w:t>
            </w:r>
          </w:p>
        </w:tc>
        <w:tc>
          <w:tcPr>
            <w:tcW w:w="1217" w:type="dxa"/>
          </w:tcPr>
          <w:p>
            <w:pPr>
              <w:pStyle w:val="TableParagraph"/>
              <w:spacing w:before="5"/>
              <w:rPr>
                <w:sz w:val="25"/>
              </w:rPr>
            </w:pPr>
          </w:p>
          <w:p>
            <w:pPr>
              <w:pStyle w:val="TableParagraph"/>
              <w:ind w:right="100"/>
              <w:jc w:val="right"/>
              <w:rPr>
                <w:sz w:val="22"/>
              </w:rPr>
            </w:pPr>
            <w:r>
              <w:rPr>
                <w:sz w:val="22"/>
              </w:rPr>
              <w:t>1,795</w:t>
            </w:r>
          </w:p>
        </w:tc>
      </w:tr>
      <w:tr>
        <w:trPr>
          <w:trHeight w:val="503" w:hRule="atLeast"/>
        </w:trPr>
        <w:tc>
          <w:tcPr>
            <w:tcW w:w="3238" w:type="dxa"/>
          </w:tcPr>
          <w:p>
            <w:pPr>
              <w:pStyle w:val="TableParagraph"/>
              <w:spacing w:before="1"/>
              <w:ind w:left="112"/>
              <w:rPr>
                <w:sz w:val="22"/>
              </w:rPr>
            </w:pPr>
            <w:r>
              <w:rPr>
                <w:sz w:val="22"/>
              </w:rPr>
              <w:t>Some college, no degree</w:t>
            </w:r>
          </w:p>
        </w:tc>
        <w:tc>
          <w:tcPr>
            <w:tcW w:w="1245" w:type="dxa"/>
          </w:tcPr>
          <w:p>
            <w:pPr>
              <w:pStyle w:val="TableParagraph"/>
              <w:spacing w:before="1"/>
              <w:ind w:right="100"/>
              <w:jc w:val="right"/>
              <w:rPr>
                <w:sz w:val="22"/>
              </w:rPr>
            </w:pPr>
            <w:r>
              <w:rPr>
                <w:sz w:val="22"/>
              </w:rPr>
              <w:t>23,300</w:t>
            </w:r>
          </w:p>
        </w:tc>
        <w:tc>
          <w:tcPr>
            <w:tcW w:w="1217" w:type="dxa"/>
          </w:tcPr>
          <w:p>
            <w:pPr>
              <w:pStyle w:val="TableParagraph"/>
              <w:spacing w:before="1"/>
              <w:ind w:right="100"/>
              <w:jc w:val="right"/>
              <w:rPr>
                <w:sz w:val="22"/>
              </w:rPr>
            </w:pPr>
            <w:r>
              <w:rPr>
                <w:sz w:val="22"/>
              </w:rPr>
              <w:t>1,995</w:t>
            </w:r>
          </w:p>
        </w:tc>
        <w:tc>
          <w:tcPr>
            <w:tcW w:w="1216" w:type="dxa"/>
          </w:tcPr>
          <w:p>
            <w:pPr>
              <w:pStyle w:val="TableParagraph"/>
              <w:spacing w:before="1"/>
              <w:ind w:right="100"/>
              <w:jc w:val="right"/>
              <w:rPr>
                <w:sz w:val="22"/>
              </w:rPr>
            </w:pPr>
            <w:r>
              <w:rPr>
                <w:sz w:val="22"/>
              </w:rPr>
              <w:t>1,385</w:t>
            </w:r>
          </w:p>
        </w:tc>
        <w:tc>
          <w:tcPr>
            <w:tcW w:w="1217" w:type="dxa"/>
          </w:tcPr>
          <w:p>
            <w:pPr>
              <w:pStyle w:val="TableParagraph"/>
              <w:spacing w:before="1"/>
              <w:ind w:right="100"/>
              <w:jc w:val="right"/>
              <w:rPr>
                <w:sz w:val="22"/>
              </w:rPr>
            </w:pPr>
            <w:r>
              <w:rPr>
                <w:sz w:val="22"/>
              </w:rPr>
              <w:t>1,835</w:t>
            </w:r>
          </w:p>
        </w:tc>
        <w:tc>
          <w:tcPr>
            <w:tcW w:w="1217" w:type="dxa"/>
          </w:tcPr>
          <w:p>
            <w:pPr>
              <w:pStyle w:val="TableParagraph"/>
              <w:spacing w:before="1"/>
              <w:ind w:right="100"/>
              <w:jc w:val="right"/>
              <w:rPr>
                <w:sz w:val="22"/>
              </w:rPr>
            </w:pPr>
            <w:r>
              <w:rPr>
                <w:sz w:val="22"/>
              </w:rPr>
              <w:t>1,000</w:t>
            </w:r>
          </w:p>
        </w:tc>
      </w:tr>
      <w:tr>
        <w:trPr>
          <w:trHeight w:val="503" w:hRule="atLeast"/>
        </w:trPr>
        <w:tc>
          <w:tcPr>
            <w:tcW w:w="3238" w:type="dxa"/>
          </w:tcPr>
          <w:p>
            <w:pPr>
              <w:pStyle w:val="TableParagraph"/>
              <w:spacing w:before="1"/>
              <w:ind w:left="112"/>
              <w:rPr>
                <w:sz w:val="22"/>
              </w:rPr>
            </w:pPr>
            <w:r>
              <w:rPr>
                <w:sz w:val="22"/>
              </w:rPr>
              <w:t>Associate's degree</w:t>
            </w:r>
          </w:p>
        </w:tc>
        <w:tc>
          <w:tcPr>
            <w:tcW w:w="1245" w:type="dxa"/>
          </w:tcPr>
          <w:p>
            <w:pPr>
              <w:pStyle w:val="TableParagraph"/>
              <w:spacing w:before="1"/>
              <w:ind w:right="100"/>
              <w:jc w:val="right"/>
              <w:rPr>
                <w:sz w:val="22"/>
              </w:rPr>
            </w:pPr>
            <w:r>
              <w:rPr>
                <w:sz w:val="22"/>
              </w:rPr>
              <w:t>700</w:t>
            </w:r>
          </w:p>
        </w:tc>
        <w:tc>
          <w:tcPr>
            <w:tcW w:w="1217" w:type="dxa"/>
          </w:tcPr>
          <w:p>
            <w:pPr>
              <w:pStyle w:val="TableParagraph"/>
              <w:spacing w:before="1"/>
              <w:ind w:right="100"/>
              <w:jc w:val="right"/>
              <w:rPr>
                <w:sz w:val="22"/>
              </w:rPr>
            </w:pPr>
            <w:r>
              <w:rPr>
                <w:sz w:val="22"/>
              </w:rPr>
              <w:t>915</w:t>
            </w:r>
          </w:p>
        </w:tc>
        <w:tc>
          <w:tcPr>
            <w:tcW w:w="1216" w:type="dxa"/>
          </w:tcPr>
          <w:p>
            <w:pPr>
              <w:pStyle w:val="TableParagraph"/>
              <w:spacing w:before="1"/>
              <w:ind w:right="100"/>
              <w:jc w:val="right"/>
              <w:rPr>
                <w:sz w:val="22"/>
              </w:rPr>
            </w:pPr>
            <w:r>
              <w:rPr>
                <w:sz w:val="22"/>
              </w:rPr>
              <w:t>190</w:t>
            </w:r>
          </w:p>
        </w:tc>
        <w:tc>
          <w:tcPr>
            <w:tcW w:w="1217" w:type="dxa"/>
          </w:tcPr>
          <w:p>
            <w:pPr>
              <w:pStyle w:val="TableParagraph"/>
              <w:spacing w:before="1"/>
              <w:ind w:right="100"/>
              <w:jc w:val="right"/>
              <w:rPr>
                <w:sz w:val="22"/>
              </w:rPr>
            </w:pPr>
            <w:r>
              <w:rPr>
                <w:sz w:val="22"/>
              </w:rPr>
              <w:t>830</w:t>
            </w:r>
          </w:p>
        </w:tc>
        <w:tc>
          <w:tcPr>
            <w:tcW w:w="1217" w:type="dxa"/>
          </w:tcPr>
          <w:p>
            <w:pPr>
              <w:pStyle w:val="TableParagraph"/>
              <w:spacing w:before="1"/>
              <w:ind w:right="100"/>
              <w:jc w:val="right"/>
              <w:rPr>
                <w:sz w:val="22"/>
              </w:rPr>
            </w:pPr>
            <w:r>
              <w:rPr>
                <w:sz w:val="22"/>
              </w:rPr>
              <w:t>265</w:t>
            </w:r>
          </w:p>
        </w:tc>
      </w:tr>
      <w:tr>
        <w:trPr>
          <w:trHeight w:val="503" w:hRule="atLeast"/>
        </w:trPr>
        <w:tc>
          <w:tcPr>
            <w:tcW w:w="3238" w:type="dxa"/>
          </w:tcPr>
          <w:p>
            <w:pPr>
              <w:pStyle w:val="TableParagraph"/>
              <w:spacing w:before="1"/>
              <w:ind w:left="112"/>
              <w:rPr>
                <w:sz w:val="22"/>
              </w:rPr>
            </w:pPr>
            <w:r>
              <w:rPr>
                <w:sz w:val="22"/>
              </w:rPr>
              <w:t>Bachelor's degree</w:t>
            </w:r>
          </w:p>
        </w:tc>
        <w:tc>
          <w:tcPr>
            <w:tcW w:w="1245" w:type="dxa"/>
          </w:tcPr>
          <w:p>
            <w:pPr>
              <w:pStyle w:val="TableParagraph"/>
              <w:spacing w:before="1"/>
              <w:ind w:right="100"/>
              <w:jc w:val="right"/>
              <w:rPr>
                <w:sz w:val="22"/>
              </w:rPr>
            </w:pPr>
            <w:r>
              <w:rPr>
                <w:sz w:val="22"/>
              </w:rPr>
              <w:t>4,470</w:t>
            </w:r>
          </w:p>
        </w:tc>
        <w:tc>
          <w:tcPr>
            <w:tcW w:w="1217" w:type="dxa"/>
          </w:tcPr>
          <w:p>
            <w:pPr>
              <w:pStyle w:val="TableParagraph"/>
              <w:spacing w:before="1"/>
              <w:ind w:right="100"/>
              <w:jc w:val="right"/>
              <w:rPr>
                <w:sz w:val="22"/>
              </w:rPr>
            </w:pPr>
            <w:r>
              <w:rPr>
                <w:sz w:val="22"/>
              </w:rPr>
              <w:t>4,390</w:t>
            </w:r>
          </w:p>
        </w:tc>
        <w:tc>
          <w:tcPr>
            <w:tcW w:w="1216" w:type="dxa"/>
          </w:tcPr>
          <w:p>
            <w:pPr>
              <w:pStyle w:val="TableParagraph"/>
              <w:spacing w:before="1"/>
              <w:ind w:right="100"/>
              <w:jc w:val="right"/>
              <w:rPr>
                <w:sz w:val="22"/>
              </w:rPr>
            </w:pPr>
            <w:r>
              <w:rPr>
                <w:sz w:val="22"/>
              </w:rPr>
              <w:t>1,960</w:t>
            </w:r>
          </w:p>
        </w:tc>
        <w:tc>
          <w:tcPr>
            <w:tcW w:w="1217" w:type="dxa"/>
          </w:tcPr>
          <w:p>
            <w:pPr>
              <w:pStyle w:val="TableParagraph"/>
              <w:spacing w:before="1"/>
              <w:ind w:right="100"/>
              <w:jc w:val="right"/>
              <w:rPr>
                <w:sz w:val="22"/>
              </w:rPr>
            </w:pPr>
            <w:r>
              <w:rPr>
                <w:sz w:val="22"/>
              </w:rPr>
              <w:t>2,355</w:t>
            </w:r>
          </w:p>
        </w:tc>
        <w:tc>
          <w:tcPr>
            <w:tcW w:w="1217" w:type="dxa"/>
          </w:tcPr>
          <w:p>
            <w:pPr>
              <w:pStyle w:val="TableParagraph"/>
              <w:spacing w:before="1"/>
              <w:ind w:right="100"/>
              <w:jc w:val="right"/>
              <w:rPr>
                <w:sz w:val="22"/>
              </w:rPr>
            </w:pPr>
            <w:r>
              <w:rPr>
                <w:sz w:val="22"/>
              </w:rPr>
              <w:t>1,470</w:t>
            </w:r>
          </w:p>
        </w:tc>
      </w:tr>
    </w:tbl>
    <w:p>
      <w:pPr>
        <w:spacing w:after="0"/>
        <w:jc w:val="right"/>
        <w:rPr>
          <w:sz w:val="22"/>
        </w:rPr>
        <w:sectPr>
          <w:type w:val="continuous"/>
          <w:pgSz w:w="12240" w:h="15840"/>
          <w:pgMar w:top="1340" w:bottom="1520" w:left="1220" w:right="100"/>
        </w:sect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38"/>
        <w:gridCol w:w="1245"/>
        <w:gridCol w:w="1217"/>
        <w:gridCol w:w="1216"/>
        <w:gridCol w:w="1217"/>
        <w:gridCol w:w="1217"/>
      </w:tblGrid>
      <w:tr>
        <w:trPr>
          <w:trHeight w:val="503" w:hRule="atLeast"/>
        </w:trPr>
        <w:tc>
          <w:tcPr>
            <w:tcW w:w="3238" w:type="dxa"/>
          </w:tcPr>
          <w:p>
            <w:pPr>
              <w:pStyle w:val="TableParagraph"/>
              <w:spacing w:line="265" w:lineRule="exact"/>
              <w:ind w:left="112"/>
              <w:rPr>
                <w:sz w:val="22"/>
              </w:rPr>
            </w:pPr>
            <w:r>
              <w:rPr>
                <w:sz w:val="22"/>
              </w:rPr>
              <w:t>Graduate or professional degree</w:t>
            </w:r>
          </w:p>
        </w:tc>
        <w:tc>
          <w:tcPr>
            <w:tcW w:w="1245" w:type="dxa"/>
          </w:tcPr>
          <w:p>
            <w:pPr>
              <w:pStyle w:val="TableParagraph"/>
              <w:spacing w:line="265" w:lineRule="exact"/>
              <w:ind w:left="792"/>
              <w:rPr>
                <w:sz w:val="22"/>
              </w:rPr>
            </w:pPr>
            <w:r>
              <w:rPr>
                <w:sz w:val="22"/>
              </w:rPr>
              <w:t>395</w:t>
            </w:r>
          </w:p>
        </w:tc>
        <w:tc>
          <w:tcPr>
            <w:tcW w:w="1217" w:type="dxa"/>
          </w:tcPr>
          <w:p>
            <w:pPr>
              <w:pStyle w:val="TableParagraph"/>
              <w:spacing w:line="265" w:lineRule="exact"/>
              <w:ind w:left="598"/>
              <w:rPr>
                <w:sz w:val="22"/>
              </w:rPr>
            </w:pPr>
            <w:r>
              <w:rPr>
                <w:sz w:val="22"/>
              </w:rPr>
              <w:t>3,450</w:t>
            </w:r>
          </w:p>
        </w:tc>
        <w:tc>
          <w:tcPr>
            <w:tcW w:w="1216" w:type="dxa"/>
          </w:tcPr>
          <w:p>
            <w:pPr>
              <w:pStyle w:val="TableParagraph"/>
              <w:spacing w:line="265" w:lineRule="exact"/>
              <w:ind w:left="597"/>
              <w:rPr>
                <w:sz w:val="22"/>
              </w:rPr>
            </w:pPr>
            <w:r>
              <w:rPr>
                <w:sz w:val="22"/>
              </w:rPr>
              <w:t>1,885</w:t>
            </w:r>
          </w:p>
        </w:tc>
        <w:tc>
          <w:tcPr>
            <w:tcW w:w="1217" w:type="dxa"/>
          </w:tcPr>
          <w:p>
            <w:pPr>
              <w:pStyle w:val="TableParagraph"/>
              <w:spacing w:line="265" w:lineRule="exact"/>
              <w:ind w:left="598"/>
              <w:rPr>
                <w:sz w:val="22"/>
              </w:rPr>
            </w:pPr>
            <w:r>
              <w:rPr>
                <w:sz w:val="22"/>
              </w:rPr>
              <w:t>3,585</w:t>
            </w:r>
          </w:p>
        </w:tc>
        <w:tc>
          <w:tcPr>
            <w:tcW w:w="1217" w:type="dxa"/>
          </w:tcPr>
          <w:p>
            <w:pPr>
              <w:pStyle w:val="TableParagraph"/>
              <w:spacing w:line="265" w:lineRule="exact"/>
              <w:ind w:left="598"/>
              <w:rPr>
                <w:sz w:val="22"/>
              </w:rPr>
            </w:pPr>
            <w:r>
              <w:rPr>
                <w:sz w:val="22"/>
              </w:rPr>
              <w:t>3,315</w:t>
            </w:r>
          </w:p>
        </w:tc>
      </w:tr>
    </w:tbl>
    <w:p>
      <w:pPr>
        <w:spacing w:after="0" w:line="265" w:lineRule="exact"/>
        <w:rPr>
          <w:sz w:val="22"/>
        </w:rPr>
        <w:sectPr>
          <w:headerReference w:type="default" r:id="rId83"/>
          <w:footerReference w:type="default" r:id="rId84"/>
          <w:pgSz w:w="12240" w:h="15840"/>
          <w:pgMar w:header="0" w:footer="1340" w:top="1440" w:bottom="1540" w:left="1220" w:right="100"/>
          <w:pgNumType w:start="85"/>
        </w:sectPr>
      </w:pPr>
    </w:p>
    <w:p>
      <w:pPr>
        <w:pStyle w:val="BodyText"/>
        <w:spacing w:before="8"/>
        <w:rPr>
          <w:sz w:val="18"/>
        </w:rPr>
      </w:pPr>
    </w:p>
    <w:p>
      <w:pPr>
        <w:spacing w:before="0"/>
        <w:ind w:left="335" w:right="20" w:firstLine="0"/>
        <w:jc w:val="left"/>
        <w:rPr>
          <w:b/>
          <w:sz w:val="16"/>
        </w:rPr>
      </w:pPr>
      <w:r>
        <w:rPr>
          <w:b/>
          <w:sz w:val="16"/>
        </w:rPr>
        <w:t>Data Source:</w:t>
      </w:r>
    </w:p>
    <w:p>
      <w:pPr>
        <w:pStyle w:val="BodyText"/>
        <w:spacing w:before="8"/>
        <w:rPr>
          <w:b/>
          <w:sz w:val="18"/>
        </w:rPr>
      </w:pPr>
      <w:r>
        <w:rPr/>
        <w:br w:type="column"/>
      </w:r>
      <w:r>
        <w:rPr>
          <w:b/>
          <w:sz w:val="18"/>
        </w:rPr>
      </w:r>
    </w:p>
    <w:p>
      <w:pPr>
        <w:spacing w:before="0"/>
        <w:ind w:left="335" w:right="0" w:firstLine="0"/>
        <w:jc w:val="left"/>
        <w:rPr>
          <w:sz w:val="16"/>
        </w:rPr>
      </w:pPr>
      <w:r>
        <w:rPr>
          <w:sz w:val="16"/>
        </w:rPr>
        <w:t>2016-2020 ACS</w:t>
      </w:r>
    </w:p>
    <w:p>
      <w:pPr>
        <w:spacing w:line="225" w:lineRule="exact" w:before="0"/>
        <w:ind w:left="335" w:right="0" w:firstLine="0"/>
        <w:jc w:val="left"/>
        <w:rPr>
          <w:rFonts w:ascii="Arial"/>
          <w:b/>
          <w:sz w:val="20"/>
        </w:rPr>
      </w:pPr>
      <w:r>
        <w:rPr/>
        <w:br w:type="column"/>
      </w:r>
      <w:r>
        <w:rPr>
          <w:rFonts w:ascii="Arial"/>
          <w:b/>
          <w:sz w:val="20"/>
        </w:rPr>
        <w:t>Table 50 - Educational Attainment by Age</w:t>
      </w:r>
    </w:p>
    <w:p>
      <w:pPr>
        <w:spacing w:after="0" w:line="225" w:lineRule="exact"/>
        <w:jc w:val="left"/>
        <w:rPr>
          <w:rFonts w:ascii="Arial"/>
          <w:sz w:val="20"/>
        </w:rPr>
        <w:sectPr>
          <w:type w:val="continuous"/>
          <w:pgSz w:w="12240" w:h="15840"/>
          <w:pgMar w:top="1340" w:bottom="1520" w:left="1220" w:right="100"/>
          <w:cols w:num="3" w:equalWidth="0">
            <w:col w:w="872" w:space="192"/>
            <w:col w:w="1361" w:space="173"/>
            <w:col w:w="8322"/>
          </w:cols>
        </w:sectPr>
      </w:pPr>
    </w:p>
    <w:p>
      <w:pPr>
        <w:pStyle w:val="BodyText"/>
        <w:rPr>
          <w:rFonts w:ascii="Arial"/>
          <w:b/>
          <w:sz w:val="20"/>
        </w:rPr>
      </w:pPr>
    </w:p>
    <w:p>
      <w:pPr>
        <w:pStyle w:val="BodyText"/>
        <w:spacing w:before="10"/>
        <w:rPr>
          <w:rFonts w:ascii="Arial"/>
          <w:b/>
        </w:rPr>
      </w:pPr>
    </w:p>
    <w:p>
      <w:pPr>
        <w:pStyle w:val="Heading5"/>
        <w:spacing w:before="51"/>
        <w:ind w:left="220" w:firstLine="0"/>
      </w:pPr>
      <w:r>
        <w:rPr/>
        <w:t>Educational Attainment – Median Earnings in the Past 12 Months</w:t>
      </w:r>
    </w:p>
    <w:p>
      <w:pPr>
        <w:pStyle w:val="BodyText"/>
        <w:spacing w:before="8"/>
        <w:rPr>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48"/>
        <w:gridCol w:w="4902"/>
      </w:tblGrid>
      <w:tr>
        <w:trPr>
          <w:trHeight w:val="263" w:hRule="atLeast"/>
        </w:trPr>
        <w:tc>
          <w:tcPr>
            <w:tcW w:w="4448" w:type="dxa"/>
          </w:tcPr>
          <w:p>
            <w:pPr>
              <w:pStyle w:val="TableParagraph"/>
              <w:spacing w:line="242" w:lineRule="exact" w:before="1"/>
              <w:ind w:left="1134"/>
              <w:rPr>
                <w:b/>
                <w:sz w:val="22"/>
              </w:rPr>
            </w:pPr>
            <w:r>
              <w:rPr>
                <w:b/>
                <w:sz w:val="22"/>
              </w:rPr>
              <w:t>Educational Attainment</w:t>
            </w:r>
          </w:p>
        </w:tc>
        <w:tc>
          <w:tcPr>
            <w:tcW w:w="4902" w:type="dxa"/>
          </w:tcPr>
          <w:p>
            <w:pPr>
              <w:pStyle w:val="TableParagraph"/>
              <w:spacing w:line="242" w:lineRule="exact" w:before="1"/>
              <w:ind w:left="659"/>
              <w:rPr>
                <w:b/>
                <w:sz w:val="22"/>
              </w:rPr>
            </w:pPr>
            <w:r>
              <w:rPr>
                <w:b/>
                <w:sz w:val="22"/>
              </w:rPr>
              <w:t>Median Earnings in the Past 12 Months</w:t>
            </w:r>
          </w:p>
        </w:tc>
      </w:tr>
      <w:tr>
        <w:trPr>
          <w:trHeight w:val="503" w:hRule="atLeast"/>
        </w:trPr>
        <w:tc>
          <w:tcPr>
            <w:tcW w:w="4448" w:type="dxa"/>
          </w:tcPr>
          <w:p>
            <w:pPr>
              <w:pStyle w:val="TableParagraph"/>
              <w:spacing w:before="1"/>
              <w:ind w:left="112"/>
              <w:rPr>
                <w:sz w:val="22"/>
              </w:rPr>
            </w:pPr>
            <w:r>
              <w:rPr>
                <w:sz w:val="22"/>
              </w:rPr>
              <w:t>Less than high school graduate</w:t>
            </w:r>
          </w:p>
        </w:tc>
        <w:tc>
          <w:tcPr>
            <w:tcW w:w="4902" w:type="dxa"/>
          </w:tcPr>
          <w:p>
            <w:pPr>
              <w:pStyle w:val="TableParagraph"/>
              <w:spacing w:before="1"/>
              <w:ind w:right="100"/>
              <w:jc w:val="right"/>
              <w:rPr>
                <w:sz w:val="22"/>
              </w:rPr>
            </w:pPr>
            <w:r>
              <w:rPr>
                <w:sz w:val="22"/>
              </w:rPr>
              <w:t>43,651</w:t>
            </w:r>
          </w:p>
        </w:tc>
      </w:tr>
      <w:tr>
        <w:trPr>
          <w:trHeight w:val="503" w:hRule="atLeast"/>
        </w:trPr>
        <w:tc>
          <w:tcPr>
            <w:tcW w:w="4448" w:type="dxa"/>
          </w:tcPr>
          <w:p>
            <w:pPr>
              <w:pStyle w:val="TableParagraph"/>
              <w:spacing w:before="1"/>
              <w:ind w:left="112"/>
              <w:rPr>
                <w:sz w:val="22"/>
              </w:rPr>
            </w:pPr>
            <w:r>
              <w:rPr>
                <w:sz w:val="22"/>
              </w:rPr>
              <w:t>High school graduate (includes equivalency)</w:t>
            </w:r>
          </w:p>
        </w:tc>
        <w:tc>
          <w:tcPr>
            <w:tcW w:w="4902" w:type="dxa"/>
          </w:tcPr>
          <w:p>
            <w:pPr>
              <w:pStyle w:val="TableParagraph"/>
              <w:spacing w:before="1"/>
              <w:ind w:right="100"/>
              <w:jc w:val="right"/>
              <w:rPr>
                <w:sz w:val="22"/>
              </w:rPr>
            </w:pPr>
            <w:r>
              <w:rPr>
                <w:sz w:val="22"/>
              </w:rPr>
              <w:t>90,075</w:t>
            </w:r>
          </w:p>
        </w:tc>
      </w:tr>
      <w:tr>
        <w:trPr>
          <w:trHeight w:val="503" w:hRule="atLeast"/>
        </w:trPr>
        <w:tc>
          <w:tcPr>
            <w:tcW w:w="4448" w:type="dxa"/>
          </w:tcPr>
          <w:p>
            <w:pPr>
              <w:pStyle w:val="TableParagraph"/>
              <w:spacing w:before="1"/>
              <w:ind w:left="112"/>
              <w:rPr>
                <w:sz w:val="22"/>
              </w:rPr>
            </w:pPr>
            <w:r>
              <w:rPr>
                <w:sz w:val="22"/>
              </w:rPr>
              <w:t>Some college or Associate's degree</w:t>
            </w:r>
          </w:p>
        </w:tc>
        <w:tc>
          <w:tcPr>
            <w:tcW w:w="4902" w:type="dxa"/>
          </w:tcPr>
          <w:p>
            <w:pPr>
              <w:pStyle w:val="TableParagraph"/>
              <w:spacing w:before="1"/>
              <w:ind w:right="100"/>
              <w:jc w:val="right"/>
              <w:rPr>
                <w:sz w:val="22"/>
              </w:rPr>
            </w:pPr>
            <w:r>
              <w:rPr>
                <w:sz w:val="22"/>
              </w:rPr>
              <w:t>88,350</w:t>
            </w:r>
          </w:p>
        </w:tc>
      </w:tr>
      <w:tr>
        <w:trPr>
          <w:trHeight w:val="503" w:hRule="atLeast"/>
        </w:trPr>
        <w:tc>
          <w:tcPr>
            <w:tcW w:w="4448" w:type="dxa"/>
          </w:tcPr>
          <w:p>
            <w:pPr>
              <w:pStyle w:val="TableParagraph"/>
              <w:spacing w:before="1"/>
              <w:ind w:left="112"/>
              <w:rPr>
                <w:sz w:val="22"/>
              </w:rPr>
            </w:pPr>
            <w:r>
              <w:rPr>
                <w:sz w:val="22"/>
              </w:rPr>
              <w:t>Bachelor's degree</w:t>
            </w:r>
          </w:p>
        </w:tc>
        <w:tc>
          <w:tcPr>
            <w:tcW w:w="4902" w:type="dxa"/>
          </w:tcPr>
          <w:p>
            <w:pPr>
              <w:pStyle w:val="TableParagraph"/>
              <w:spacing w:before="1"/>
              <w:ind w:right="100"/>
              <w:jc w:val="right"/>
              <w:rPr>
                <w:sz w:val="22"/>
              </w:rPr>
            </w:pPr>
            <w:r>
              <w:rPr>
                <w:sz w:val="22"/>
              </w:rPr>
              <w:t>64,416</w:t>
            </w:r>
          </w:p>
        </w:tc>
      </w:tr>
      <w:tr>
        <w:trPr>
          <w:trHeight w:val="503" w:hRule="atLeast"/>
        </w:trPr>
        <w:tc>
          <w:tcPr>
            <w:tcW w:w="4448" w:type="dxa"/>
          </w:tcPr>
          <w:p>
            <w:pPr>
              <w:pStyle w:val="TableParagraph"/>
              <w:spacing w:before="1"/>
              <w:ind w:left="112"/>
              <w:rPr>
                <w:sz w:val="22"/>
              </w:rPr>
            </w:pPr>
            <w:r>
              <w:rPr>
                <w:sz w:val="22"/>
              </w:rPr>
              <w:t>Graduate or professional degree</w:t>
            </w:r>
          </w:p>
        </w:tc>
        <w:tc>
          <w:tcPr>
            <w:tcW w:w="4902" w:type="dxa"/>
          </w:tcPr>
          <w:p>
            <w:pPr>
              <w:pStyle w:val="TableParagraph"/>
              <w:spacing w:before="1"/>
              <w:ind w:right="100"/>
              <w:jc w:val="right"/>
              <w:rPr>
                <w:sz w:val="22"/>
              </w:rPr>
            </w:pPr>
            <w:r>
              <w:rPr>
                <w:sz w:val="22"/>
              </w:rPr>
              <w:t>124,932</w:t>
            </w:r>
          </w:p>
        </w:tc>
      </w:tr>
    </w:tbl>
    <w:p>
      <w:pPr>
        <w:spacing w:after="0"/>
        <w:jc w:val="right"/>
        <w:rPr>
          <w:sz w:val="22"/>
        </w:rPr>
        <w:sectPr>
          <w:type w:val="continuous"/>
          <w:pgSz w:w="12240" w:h="15840"/>
          <w:pgMar w:top="1340" w:bottom="1520" w:left="1220" w:right="100"/>
        </w:sectPr>
      </w:pPr>
    </w:p>
    <w:p>
      <w:pPr>
        <w:pStyle w:val="BodyText"/>
        <w:spacing w:before="1"/>
        <w:rPr>
          <w:sz w:val="19"/>
        </w:rPr>
      </w:pPr>
    </w:p>
    <w:p>
      <w:pPr>
        <w:spacing w:before="0"/>
        <w:ind w:left="335" w:right="20" w:firstLine="0"/>
        <w:jc w:val="left"/>
        <w:rPr>
          <w:b/>
          <w:sz w:val="16"/>
        </w:rPr>
      </w:pPr>
      <w:r>
        <w:rPr>
          <w:b/>
          <w:sz w:val="16"/>
        </w:rPr>
        <w:t>Data Source:</w:t>
      </w:r>
    </w:p>
    <w:p>
      <w:pPr>
        <w:pStyle w:val="BodyText"/>
        <w:spacing w:before="1"/>
        <w:rPr>
          <w:b/>
          <w:sz w:val="19"/>
        </w:rPr>
      </w:pPr>
      <w:r>
        <w:rPr/>
        <w:br w:type="column"/>
      </w:r>
      <w:r>
        <w:rPr>
          <w:b/>
          <w:sz w:val="19"/>
        </w:rPr>
      </w:r>
    </w:p>
    <w:p>
      <w:pPr>
        <w:spacing w:before="0"/>
        <w:ind w:left="335" w:right="0" w:firstLine="0"/>
        <w:jc w:val="left"/>
        <w:rPr>
          <w:sz w:val="16"/>
        </w:rPr>
      </w:pPr>
      <w:r>
        <w:rPr>
          <w:sz w:val="16"/>
        </w:rPr>
        <w:t>2016-2020 ACS</w:t>
      </w:r>
    </w:p>
    <w:p>
      <w:pPr>
        <w:spacing w:before="0"/>
        <w:ind w:left="108" w:right="0" w:firstLine="0"/>
        <w:jc w:val="left"/>
        <w:rPr>
          <w:rFonts w:ascii="Arial" w:hAnsi="Arial"/>
          <w:b/>
          <w:sz w:val="20"/>
        </w:rPr>
      </w:pPr>
      <w:r>
        <w:rPr/>
        <w:br w:type="column"/>
      </w:r>
      <w:r>
        <w:rPr>
          <w:rFonts w:ascii="Arial" w:hAnsi="Arial"/>
          <w:b/>
          <w:sz w:val="20"/>
        </w:rPr>
        <w:t>Table 51 – Median Earnings in the Past 12 Months</w:t>
      </w:r>
    </w:p>
    <w:p>
      <w:pPr>
        <w:spacing w:after="0"/>
        <w:jc w:val="left"/>
        <w:rPr>
          <w:rFonts w:ascii="Arial" w:hAnsi="Arial"/>
          <w:sz w:val="20"/>
        </w:rPr>
        <w:sectPr>
          <w:type w:val="continuous"/>
          <w:pgSz w:w="12240" w:h="15840"/>
          <w:pgMar w:top="1340" w:bottom="1520" w:left="1220" w:right="100"/>
          <w:cols w:num="3" w:equalWidth="0">
            <w:col w:w="872" w:space="192"/>
            <w:col w:w="1321" w:space="39"/>
            <w:col w:w="8496"/>
          </w:cols>
        </w:sectPr>
      </w:pPr>
    </w:p>
    <w:p>
      <w:pPr>
        <w:pStyle w:val="BodyText"/>
        <w:rPr>
          <w:rFonts w:ascii="Arial"/>
          <w:b/>
          <w:sz w:val="20"/>
        </w:rPr>
      </w:pPr>
    </w:p>
    <w:p>
      <w:pPr>
        <w:pStyle w:val="BodyText"/>
        <w:rPr>
          <w:rFonts w:ascii="Arial"/>
          <w:b/>
          <w:sz w:val="20"/>
        </w:rPr>
      </w:pPr>
    </w:p>
    <w:p>
      <w:pPr>
        <w:pStyle w:val="BodyText"/>
        <w:spacing w:before="9"/>
        <w:rPr>
          <w:rFonts w:ascii="Arial"/>
          <w:b/>
          <w:sz w:val="19"/>
        </w:rPr>
      </w:pPr>
    </w:p>
    <w:p>
      <w:pPr>
        <w:pStyle w:val="Heading4"/>
        <w:spacing w:line="276" w:lineRule="auto" w:before="52"/>
        <w:ind w:right="1608"/>
      </w:pPr>
      <w:r>
        <w:rPr/>
        <w:t>Based on the Business Activity table above, what are the major employment sectors within your jurisdiction?</w:t>
      </w:r>
    </w:p>
    <w:p>
      <w:pPr>
        <w:pStyle w:val="Heading5"/>
        <w:spacing w:line="276" w:lineRule="auto" w:before="200"/>
        <w:ind w:left="220" w:right="1498" w:firstLine="0"/>
      </w:pPr>
      <w:r>
        <w:rPr/>
        <w:t>Education and Health Care Services is the largest sector, with 24% of the total jobs in the area, reflecting the presence of Indiana University and a robust healthcare system. This sector employs 3,687 workers, with a surplus of jobs indicating high demand for these services.</w:t>
      </w:r>
    </w:p>
    <w:p>
      <w:pPr>
        <w:spacing w:line="276" w:lineRule="auto" w:before="200"/>
        <w:ind w:left="220" w:right="1661" w:firstLine="0"/>
        <w:jc w:val="left"/>
        <w:rPr>
          <w:sz w:val="24"/>
        </w:rPr>
      </w:pPr>
      <w:r>
        <w:rPr>
          <w:sz w:val="24"/>
        </w:rPr>
        <w:t>The Arts, Entertainment, and Accommodations sector is another key contributor, making up 22% of the job market. This includes a wide range of jobs in entertainment, hospitality, and accommodation services, driven in part by the city’s cultural amenities and tourism industry. This sector shows a 4% surplus of jobs compared to the number of workers.</w:t>
      </w:r>
    </w:p>
    <w:p>
      <w:pPr>
        <w:spacing w:line="276" w:lineRule="auto" w:before="200"/>
        <w:ind w:left="220" w:right="1571" w:firstLine="0"/>
        <w:jc w:val="left"/>
        <w:rPr>
          <w:sz w:val="24"/>
        </w:rPr>
      </w:pPr>
      <w:r>
        <w:rPr>
          <w:sz w:val="24"/>
        </w:rPr>
        <w:t>Retail Trade also plays a significant role in the local economy, employing 2,674 workers and providing 4,922 jobs, which accounts for 15% of the total jobs. This sector meets the needs of both local residents and students.</w:t>
      </w:r>
    </w:p>
    <w:p>
      <w:pPr>
        <w:spacing w:line="276" w:lineRule="auto" w:before="200"/>
        <w:ind w:left="220" w:right="1443" w:firstLine="0"/>
        <w:jc w:val="left"/>
        <w:rPr>
          <w:sz w:val="24"/>
        </w:rPr>
      </w:pPr>
      <w:r>
        <w:rPr>
          <w:sz w:val="24"/>
        </w:rPr>
        <w:t>Professional, Scientific, and Management Services accounts for 7% of the workforce and includes high-skill positions in various professional fields, supporting the growth of knowledge- based industries in the region.</w:t>
      </w:r>
    </w:p>
    <w:p>
      <w:pPr>
        <w:spacing w:after="0" w:line="276" w:lineRule="auto"/>
        <w:jc w:val="left"/>
        <w:rPr>
          <w:sz w:val="24"/>
        </w:rPr>
        <w:sectPr>
          <w:type w:val="continuous"/>
          <w:pgSz w:w="12240" w:h="15840"/>
          <w:pgMar w:top="1340" w:bottom="1520" w:left="1220" w:right="100"/>
        </w:sectPr>
      </w:pPr>
    </w:p>
    <w:p>
      <w:pPr>
        <w:spacing w:line="276" w:lineRule="auto" w:before="24"/>
        <w:ind w:left="220" w:right="1391" w:firstLine="0"/>
        <w:jc w:val="left"/>
        <w:rPr>
          <w:sz w:val="24"/>
        </w:rPr>
      </w:pPr>
      <w:r>
        <w:rPr>
          <w:sz w:val="24"/>
        </w:rPr>
        <w:t>Other sectors like Manufacturing, Construction, and Transportation and Warehousing also contribute to employment, but they represent a smaller share of the overall job market, with some sectors experiencing a mismatch between available jobs and the local workforce. Overall, Bloomington’s economy is driven by education, healthcare, arts and entertainment, retail, and professional services.</w:t>
      </w:r>
    </w:p>
    <w:p>
      <w:pPr>
        <w:spacing w:before="200"/>
        <w:ind w:left="220" w:right="0" w:firstLine="0"/>
        <w:jc w:val="left"/>
        <w:rPr>
          <w:b/>
          <w:sz w:val="24"/>
        </w:rPr>
      </w:pPr>
      <w:r>
        <w:rPr>
          <w:b/>
          <w:sz w:val="24"/>
        </w:rPr>
        <w:t>Describe the workforce and infrastructure needs of the business community:</w:t>
      </w:r>
    </w:p>
    <w:p>
      <w:pPr>
        <w:pStyle w:val="BodyText"/>
        <w:rPr>
          <w:b/>
          <w:sz w:val="20"/>
        </w:rPr>
      </w:pPr>
    </w:p>
    <w:p>
      <w:pPr>
        <w:spacing w:line="276" w:lineRule="auto" w:before="0"/>
        <w:ind w:left="220" w:right="1401" w:firstLine="0"/>
        <w:jc w:val="left"/>
        <w:rPr>
          <w:sz w:val="24"/>
        </w:rPr>
      </w:pPr>
      <w:r>
        <w:rPr>
          <w:sz w:val="24"/>
        </w:rPr>
        <w:t>There is a clear need for more skilled workers in key sectors like Manufacturing, Transportation and Warehousing, and Professional Services. Despite the presence of many higher education institutions, certain industries, particularly manufacturing, are experiencing a mismatch between job supply and worker availability. This suggests a need for more targeted training programs to ensure the local workforce is aligned with industry demands.</w:t>
      </w:r>
    </w:p>
    <w:p>
      <w:pPr>
        <w:spacing w:line="276" w:lineRule="auto" w:before="200"/>
        <w:ind w:left="220" w:right="1662" w:firstLine="0"/>
        <w:jc w:val="left"/>
        <w:rPr>
          <w:b/>
          <w:sz w:val="24"/>
        </w:rPr>
      </w:pPr>
      <w:r>
        <w:rPr>
          <w:b/>
          <w:sz w:val="24"/>
        </w:rPr>
        <w:t>Describe any major changes that may have an economic impact, such as planned local or regional public or private sector investments or initiatives that have affected or may affect job and business growth opportunities during the planning period. Describe any needs for workforce development, business support or infrastructure these changes may create.</w:t>
      </w:r>
    </w:p>
    <w:p>
      <w:pPr>
        <w:spacing w:line="276" w:lineRule="auto" w:before="200"/>
        <w:ind w:left="220" w:right="1322" w:firstLine="0"/>
        <w:jc w:val="left"/>
        <w:rPr>
          <w:sz w:val="24"/>
        </w:rPr>
      </w:pPr>
      <w:r>
        <w:rPr>
          <w:sz w:val="24"/>
        </w:rPr>
        <w:t>Several significant changes in Bloomington and the surrounding region are expected to impact job and business growth opportunities in the coming years. These changes involve both public and private sector investments and initiatives that will create new economic opportunities but also present challenges that will require focused workforce development, business support, and infrastructure improvements.</w:t>
      </w:r>
    </w:p>
    <w:p>
      <w:pPr>
        <w:spacing w:line="276" w:lineRule="auto" w:before="200"/>
        <w:ind w:left="220" w:right="1513" w:firstLine="0"/>
        <w:jc w:val="left"/>
        <w:rPr>
          <w:sz w:val="24"/>
        </w:rPr>
      </w:pPr>
      <w:r>
        <w:rPr>
          <w:sz w:val="24"/>
        </w:rPr>
        <w:t>Indiana University (IU), as the region’s largest employer and economic driver, continues to experience growth, particularly in research and technology sectors. IU's expansion of research facilities, particularly in healthcare, life sciences, and tech innovation, is expected to create a high demand for skilled workers in those fields.</w:t>
      </w:r>
    </w:p>
    <w:p>
      <w:pPr>
        <w:spacing w:line="276" w:lineRule="auto" w:before="200"/>
        <w:ind w:left="220" w:right="2213" w:firstLine="0"/>
        <w:jc w:val="left"/>
        <w:rPr>
          <w:b/>
          <w:sz w:val="24"/>
        </w:rPr>
      </w:pPr>
      <w:r>
        <w:rPr>
          <w:b/>
          <w:sz w:val="24"/>
        </w:rPr>
        <w:t>How do the skills and education of the current workforce correspond to employment opportunities in the jurisdiction?</w:t>
      </w:r>
    </w:p>
    <w:p>
      <w:pPr>
        <w:spacing w:line="276" w:lineRule="auto" w:before="200"/>
        <w:ind w:left="220" w:right="1608" w:firstLine="0"/>
        <w:jc w:val="left"/>
        <w:rPr>
          <w:sz w:val="24"/>
        </w:rPr>
      </w:pPr>
      <w:r>
        <w:rPr>
          <w:sz w:val="24"/>
        </w:rPr>
        <w:t>Bloomington has a high concentration of highly educated residents, particularly those with bachelor's degrees and higher. To retain talent, especially in the technology, healthcare, </w:t>
      </w:r>
      <w:r>
        <w:rPr>
          <w:spacing w:val="-6"/>
          <w:sz w:val="24"/>
        </w:rPr>
        <w:t>and </w:t>
      </w:r>
      <w:r>
        <w:rPr>
          <w:sz w:val="24"/>
        </w:rPr>
        <w:t>creative industries, the community may need to provide better career advancement opportunities and support for entrepreneurship to encourage the retention of young professionals after they graduate.</w:t>
      </w:r>
    </w:p>
    <w:p>
      <w:pPr>
        <w:spacing w:after="0" w:line="276" w:lineRule="auto"/>
        <w:jc w:val="left"/>
        <w:rPr>
          <w:sz w:val="24"/>
        </w:rPr>
        <w:sectPr>
          <w:headerReference w:type="default" r:id="rId85"/>
          <w:footerReference w:type="default" r:id="rId86"/>
          <w:pgSz w:w="12240" w:h="15840"/>
          <w:pgMar w:header="0" w:footer="1340" w:top="1420" w:bottom="1540" w:left="1220" w:right="100"/>
          <w:pgNumType w:start="86"/>
        </w:sectPr>
      </w:pPr>
    </w:p>
    <w:p>
      <w:pPr>
        <w:spacing w:line="276" w:lineRule="auto" w:before="24"/>
        <w:ind w:left="220" w:right="1472" w:firstLine="0"/>
        <w:jc w:val="left"/>
        <w:rPr>
          <w:b/>
          <w:sz w:val="24"/>
        </w:rPr>
      </w:pPr>
      <w:r>
        <w:rPr>
          <w:b/>
          <w:sz w:val="24"/>
        </w:rPr>
        <w:t>Describe any current workforce training initiatives, including those supported by Workforce Investment Boards, community colleges and other organizations. Describe how these efforts will support the jurisdiction's Consolidated Plan.</w:t>
      </w:r>
    </w:p>
    <w:p>
      <w:pPr>
        <w:spacing w:line="276" w:lineRule="auto" w:before="200"/>
        <w:ind w:left="220" w:right="1376" w:firstLine="0"/>
        <w:jc w:val="left"/>
        <w:rPr>
          <w:sz w:val="24"/>
        </w:rPr>
      </w:pPr>
      <w:r>
        <w:rPr>
          <w:sz w:val="24"/>
        </w:rPr>
        <w:t>The South Central Indiana Workforce Investment Board (SCI WIB) is one of the key organizations leading workforce development in the region. It partners with businesses, community colleges, and local organizations to offer training programs that align with the needs of local employers. These initiatives target both youth and adult populations, focusing </w:t>
      </w:r>
      <w:r>
        <w:rPr>
          <w:spacing w:val="-9"/>
          <w:sz w:val="24"/>
        </w:rPr>
        <w:t>on </w:t>
      </w:r>
      <w:r>
        <w:rPr>
          <w:sz w:val="24"/>
        </w:rPr>
        <w:t>skill development in sectors with high demand, such as advanced manufacturing, healthcare, information technology, and construction. The board coordinates workforce development programs that connect job seekers with employers, providing access to job placement services, on-the-job training, and apprenticeships. These services ensure that individuals gain the practical experience required to meet the needs of employers and improve their long-term employability.</w:t>
      </w:r>
    </w:p>
    <w:p>
      <w:pPr>
        <w:spacing w:line="276" w:lineRule="auto" w:before="200"/>
        <w:ind w:left="220" w:right="1409" w:firstLine="0"/>
        <w:jc w:val="left"/>
        <w:rPr>
          <w:sz w:val="24"/>
        </w:rPr>
      </w:pPr>
      <w:r>
        <w:rPr>
          <w:sz w:val="24"/>
        </w:rPr>
        <w:t>Indiana University Bloomington and Vincennes University offer a range of vocational training programs and certification courses designed to equip local workers with industry-specific skills. These institutions provide accessible technical certifications, degree programs, and non-degree training in fields like healthcare, business administration, computer science, and engineering technologies.</w:t>
      </w:r>
    </w:p>
    <w:p>
      <w:pPr>
        <w:spacing w:line="276" w:lineRule="auto" w:before="200"/>
        <w:ind w:left="220" w:right="1481" w:firstLine="0"/>
        <w:jc w:val="left"/>
        <w:rPr>
          <w:sz w:val="24"/>
        </w:rPr>
      </w:pPr>
      <w:r>
        <w:rPr>
          <w:sz w:val="24"/>
        </w:rPr>
        <w:t>Programs such as WorkOne provide pathways for unemployed or underemployed residents to gain skills and certifications in fields like pharmacy tech, medical coding, information technology, and welding. These training programs help prepare individuals for in-demand jobs and provide them with the credentials that will make them competitive candidates in the local workforce.</w:t>
      </w:r>
    </w:p>
    <w:p>
      <w:pPr>
        <w:spacing w:line="276" w:lineRule="auto" w:before="200"/>
        <w:ind w:left="220" w:right="1344" w:firstLine="0"/>
        <w:jc w:val="left"/>
        <w:rPr>
          <w:sz w:val="24"/>
        </w:rPr>
      </w:pPr>
      <w:r>
        <w:rPr>
          <w:sz w:val="24"/>
        </w:rPr>
        <w:t>Several local organizations, including One Bloomington and The Indiana Department of Workforce Development, support apprenticeship programs that allow individuals to gain </w:t>
      </w:r>
      <w:r>
        <w:rPr>
          <w:spacing w:val="-3"/>
          <w:sz w:val="24"/>
        </w:rPr>
        <w:t>hands- </w:t>
      </w:r>
      <w:r>
        <w:rPr>
          <w:sz w:val="24"/>
        </w:rPr>
        <w:t>on experience in industries like construction, advanced manufacturing, and healthcare. These apprenticeships are especially valuable for individuals who may lack formal education but have strong potential to succeed in skilled trades. These apprenticeship programs combine workplace learning with classroom instruction, enabling workers to earn while they learn and gain valuable credentials and skills that make them more employable.</w:t>
      </w:r>
    </w:p>
    <w:p>
      <w:pPr>
        <w:spacing w:line="276" w:lineRule="auto" w:before="200"/>
        <w:ind w:left="220" w:right="2032" w:firstLine="0"/>
        <w:jc w:val="left"/>
        <w:rPr>
          <w:b/>
          <w:sz w:val="24"/>
        </w:rPr>
      </w:pPr>
      <w:r>
        <w:rPr>
          <w:b/>
          <w:sz w:val="24"/>
        </w:rPr>
        <w:t>Does your jurisdiction participate in a Comprehensive Economic Development Strategy (CEDS)?</w:t>
      </w:r>
    </w:p>
    <w:p>
      <w:pPr>
        <w:spacing w:before="200"/>
        <w:ind w:left="220" w:right="0" w:firstLine="0"/>
        <w:jc w:val="left"/>
        <w:rPr>
          <w:sz w:val="24"/>
        </w:rPr>
      </w:pPr>
      <w:r>
        <w:rPr>
          <w:sz w:val="24"/>
        </w:rPr>
        <w:t>No</w:t>
      </w:r>
    </w:p>
    <w:p>
      <w:pPr>
        <w:spacing w:after="0"/>
        <w:jc w:val="left"/>
        <w:rPr>
          <w:sz w:val="24"/>
        </w:rPr>
        <w:sectPr>
          <w:headerReference w:type="default" r:id="rId87"/>
          <w:footerReference w:type="default" r:id="rId88"/>
          <w:pgSz w:w="12240" w:h="15840"/>
          <w:pgMar w:header="0" w:footer="1340" w:top="1420" w:bottom="1540" w:left="1220" w:right="100"/>
          <w:pgNumType w:start="87"/>
        </w:sectPr>
      </w:pPr>
    </w:p>
    <w:p>
      <w:pPr>
        <w:spacing w:line="276" w:lineRule="auto" w:before="24"/>
        <w:ind w:left="220" w:right="1612" w:firstLine="0"/>
        <w:jc w:val="left"/>
        <w:rPr>
          <w:b/>
          <w:sz w:val="24"/>
        </w:rPr>
      </w:pPr>
      <w:r>
        <w:rPr>
          <w:b/>
          <w:sz w:val="24"/>
        </w:rPr>
        <w:t>If so, what economic development initiatives are you undertaking that may be coordinated with the Consolidated Plan? If not, describe other local/regional plans or initiatives that impact economic growth.</w:t>
      </w:r>
    </w:p>
    <w:p>
      <w:pPr>
        <w:spacing w:before="200"/>
        <w:ind w:left="220" w:right="0" w:firstLine="0"/>
        <w:jc w:val="left"/>
        <w:rPr>
          <w:b/>
          <w:sz w:val="24"/>
        </w:rPr>
      </w:pPr>
      <w:r>
        <w:rPr>
          <w:b/>
          <w:sz w:val="24"/>
        </w:rPr>
        <w:t>Discussion</w:t>
      </w:r>
    </w:p>
    <w:p>
      <w:pPr>
        <w:pStyle w:val="BodyText"/>
        <w:spacing w:line="204" w:lineRule="auto" w:before="187"/>
        <w:ind w:left="220" w:right="1433"/>
      </w:pPr>
      <w:r>
        <w:rPr/>
        <w:t>A significant portion of employees are commuting into Monroe County, with some employers reporting up to half of their workforce coming from outside the county, which affects housing and salary dynamics. The city’s growth in industries like life sciences and advanced manufacturing is causing increased commuting and a need for housing that attracts and retains workers, including recent graduates.</w:t>
      </w:r>
    </w:p>
    <w:p>
      <w:pPr>
        <w:spacing w:after="0" w:line="204" w:lineRule="auto"/>
        <w:sectPr>
          <w:headerReference w:type="default" r:id="rId89"/>
          <w:footerReference w:type="default" r:id="rId90"/>
          <w:pgSz w:w="12240" w:h="15840"/>
          <w:pgMar w:header="0" w:footer="1340" w:top="1420" w:bottom="1540" w:left="1220" w:right="100"/>
          <w:pgNumType w:start="88"/>
        </w:sectPr>
      </w:pPr>
    </w:p>
    <w:p>
      <w:pPr>
        <w:pStyle w:val="Heading1"/>
        <w:spacing w:before="106"/>
      </w:pPr>
      <w:r>
        <w:rPr>
          <w:color w:val="0E4661"/>
        </w:rPr>
        <w:t>MA-50 Needs and Market Analysis Discussion</w:t>
      </w:r>
    </w:p>
    <w:p>
      <w:pPr>
        <w:pStyle w:val="Heading4"/>
        <w:spacing w:line="276" w:lineRule="auto" w:before="137"/>
        <w:ind w:right="2155"/>
      </w:pPr>
      <w:r>
        <w:rPr/>
        <w:t>Are there areas where households with multiple housing problems are concentrated? (include a definition of "concentration")</w:t>
      </w:r>
    </w:p>
    <w:p>
      <w:pPr>
        <w:pStyle w:val="BodyText"/>
        <w:spacing w:line="276" w:lineRule="auto" w:before="199"/>
        <w:ind w:left="220" w:right="1332"/>
      </w:pPr>
      <w:r>
        <w:rPr/>
        <w:t>The City of Bloomington’s residential rental inspection program has helped mitigate housing problems in the City; there is no geographic area where multiple housing problems are concentrated. However, it should be noted that all public housing is concentrated in impacted areas. Concentrating housing in LMI areas limits educational and job opportunities and exposes residents to increased crime rates and poor health outcomes.</w:t>
      </w:r>
    </w:p>
    <w:p>
      <w:pPr>
        <w:pStyle w:val="BodyText"/>
        <w:spacing w:before="5"/>
        <w:rPr>
          <w:sz w:val="16"/>
        </w:rPr>
      </w:pPr>
    </w:p>
    <w:p>
      <w:pPr>
        <w:pStyle w:val="Heading4"/>
        <w:spacing w:line="276" w:lineRule="auto"/>
        <w:ind w:right="2132"/>
      </w:pPr>
      <w:r>
        <w:rPr/>
        <w:t>Are there any areas in the jurisdiction where racial or ethnic minorities or low-income families are concentrated? (include a definition of "concentration")</w:t>
      </w:r>
    </w:p>
    <w:p>
      <w:pPr>
        <w:pStyle w:val="BodyText"/>
        <w:spacing w:line="276" w:lineRule="auto" w:before="200"/>
        <w:ind w:left="220" w:right="1330"/>
      </w:pPr>
      <w:r>
        <w:rPr/>
        <w:t>HUD defines R/ECAPs as census tracts with a non-white population of at least 50% (and 20% outside of metropolitan/micropolitan areas) and a poverty rate that either exceeds 40% or is three times the average tract poverty rate for the metropolitan/micropolitan area, whichever is lower. By combining this data, it is possible to determine geographic patterns where there are concentrated areas of poverty among racial/ethnic minorities. Although ethnicity and race as defined by the US Census Bureau are not the same, the AI uses rates of both non-White and Hispanic/Latino populations to map a combined group of racial and ethnic concentrations, henceforth referred to collectively as "racially/ethnically concentrated areas of poverty” or R/ECAPs.</w:t>
      </w:r>
    </w:p>
    <w:p>
      <w:pPr>
        <w:pStyle w:val="BodyText"/>
        <w:spacing w:before="5"/>
        <w:rPr>
          <w:sz w:val="16"/>
        </w:rPr>
      </w:pPr>
    </w:p>
    <w:p>
      <w:pPr>
        <w:pStyle w:val="BodyText"/>
        <w:spacing w:line="276" w:lineRule="auto"/>
        <w:ind w:left="220" w:right="1345"/>
      </w:pPr>
      <w:r>
        <w:rPr/>
        <w:t>Under HUD’s definition of racially/ethnically concentrated areas of poverty (R/ECAP), no census tract in Bloomington meets the 50% non-White population threshold. To measure relative minority concentration a second definition will be utilized. HUD employs a definition for an area of minority concentration where the percentage of minorities is at least 20 percentage points higher than the surrounding area through its Site and Neighborhood Standards, which is used for the siting of HUD funded properties. Using Monroe County as the surrounding area, which has a minority concentration of 17.3%, the threshold used here will be 37.3%. Under this definition, only one census tract in Bloomington meets this definition: 9.04.</w:t>
      </w:r>
    </w:p>
    <w:p>
      <w:pPr>
        <w:pStyle w:val="BodyText"/>
        <w:spacing w:before="5"/>
        <w:rPr>
          <w:sz w:val="16"/>
        </w:rPr>
      </w:pPr>
    </w:p>
    <w:p>
      <w:pPr>
        <w:pStyle w:val="Heading4"/>
      </w:pPr>
      <w:r>
        <w:rPr/>
        <w:t>What are the characteristics of the market in these areas/neighborhoods?</w:t>
      </w:r>
    </w:p>
    <w:p>
      <w:pPr>
        <w:pStyle w:val="BodyText"/>
        <w:spacing w:before="7"/>
        <w:rPr>
          <w:b/>
          <w:sz w:val="19"/>
        </w:rPr>
      </w:pPr>
    </w:p>
    <w:p>
      <w:pPr>
        <w:pStyle w:val="BodyText"/>
        <w:spacing w:line="276" w:lineRule="auto"/>
        <w:ind w:left="220" w:right="1349"/>
        <w:rPr>
          <w:rFonts w:ascii="Arial" w:hAnsi="Arial"/>
        </w:rPr>
      </w:pPr>
      <w:r>
        <w:rPr>
          <w:rFonts w:ascii="Arial" w:hAnsi="Arial"/>
        </w:rPr>
        <w:t>The areas that meet the LMI threshold tend to have older housing stock and lower opportunities than other more affluent areas. While most of Bloomington’s housing stock consists of multifamily units, these areas tend to mostly consist of single-family housing units available for rent. Census Tract 9.04 is the only racially and ethnically concentrated area of poverty that does not follow these trends, differing in not just housing stock characteristics but also commercial space, being the home of College Mall. Stakeholders also identified a lack of adequate public transportation in these neighborhoods.</w:t>
      </w:r>
    </w:p>
    <w:p>
      <w:pPr>
        <w:spacing w:after="0" w:line="276" w:lineRule="auto"/>
        <w:rPr>
          <w:rFonts w:ascii="Arial" w:hAnsi="Arial"/>
        </w:rPr>
        <w:sectPr>
          <w:headerReference w:type="default" r:id="rId91"/>
          <w:footerReference w:type="default" r:id="rId92"/>
          <w:pgSz w:w="12240" w:h="15840"/>
          <w:pgMar w:header="0" w:footer="1340" w:top="1500" w:bottom="1540" w:left="1220" w:right="100"/>
          <w:pgNumType w:start="89"/>
        </w:sectPr>
      </w:pPr>
    </w:p>
    <w:p>
      <w:pPr>
        <w:pStyle w:val="BodyText"/>
        <w:rPr>
          <w:rFonts w:ascii="Arial"/>
          <w:sz w:val="20"/>
        </w:rPr>
      </w:pPr>
    </w:p>
    <w:p>
      <w:pPr>
        <w:pStyle w:val="BodyText"/>
        <w:spacing w:before="4"/>
        <w:rPr>
          <w:rFonts w:ascii="Arial"/>
          <w:sz w:val="17"/>
        </w:rPr>
      </w:pPr>
    </w:p>
    <w:p>
      <w:pPr>
        <w:pStyle w:val="Heading4"/>
        <w:spacing w:before="52"/>
      </w:pPr>
      <w:r>
        <w:rPr/>
        <w:t>Are there any community assets in these areas/neighborhoods?</w:t>
      </w:r>
    </w:p>
    <w:p>
      <w:pPr>
        <w:pStyle w:val="BodyText"/>
        <w:spacing w:before="7"/>
        <w:rPr>
          <w:b/>
          <w:sz w:val="19"/>
        </w:rPr>
      </w:pPr>
    </w:p>
    <w:p>
      <w:pPr>
        <w:pStyle w:val="BodyText"/>
        <w:spacing w:line="276" w:lineRule="auto"/>
        <w:ind w:left="220" w:right="1446"/>
        <w:rPr>
          <w:rFonts w:ascii="Arial"/>
        </w:rPr>
      </w:pPr>
      <w:r>
        <w:rPr>
          <w:rFonts w:ascii="Arial"/>
        </w:rPr>
        <w:t>Many neighborhoods in Bloomington have robust neighborhood associations which could be leveraged to communicate resident needs to the City. Neighborhoods without a neighborhood association could be given assistance to create one for the purpose of creating a deeper sense of community and could be a tool for organizing and communicating community needs.</w:t>
      </w:r>
    </w:p>
    <w:p>
      <w:pPr>
        <w:pStyle w:val="BodyText"/>
        <w:spacing w:line="276" w:lineRule="auto" w:before="200"/>
        <w:ind w:left="220" w:right="1655"/>
        <w:rPr>
          <w:rFonts w:ascii="Arial"/>
        </w:rPr>
      </w:pPr>
      <w:r>
        <w:rPr>
          <w:rFonts w:ascii="Arial"/>
        </w:rPr>
        <w:t>These areas also contain or are in close proximity to many public service providers and resources throughout the City, including the Bloomington Housing Authority, the Boys &amp; Girls Clubs of Bloomington, Indiana University Bloomington, and more.</w:t>
      </w:r>
    </w:p>
    <w:p>
      <w:pPr>
        <w:pStyle w:val="Heading4"/>
        <w:spacing w:before="205"/>
      </w:pPr>
      <w:r>
        <w:rPr/>
        <w:t>Are there other strategic opportunities in any of these areas?</w:t>
      </w:r>
    </w:p>
    <w:p>
      <w:pPr>
        <w:pStyle w:val="BodyText"/>
        <w:spacing w:before="11"/>
        <w:rPr>
          <w:b/>
          <w:sz w:val="19"/>
        </w:rPr>
      </w:pPr>
    </w:p>
    <w:p>
      <w:pPr>
        <w:pStyle w:val="BodyText"/>
        <w:ind w:left="220" w:right="1536"/>
      </w:pPr>
      <w:r>
        <w:rPr/>
        <w:t>Developing affordable housing opportunities in these areas, while ensuring access to employment and transportation, is a priority for the City.</w:t>
      </w:r>
    </w:p>
    <w:p>
      <w:pPr>
        <w:spacing w:after="0"/>
        <w:sectPr>
          <w:headerReference w:type="default" r:id="rId93"/>
          <w:footerReference w:type="default" r:id="rId94"/>
          <w:pgSz w:w="12240" w:h="15840"/>
          <w:pgMar w:header="0" w:footer="1340" w:top="1500" w:bottom="1540" w:left="1220" w:right="100"/>
          <w:pgNumType w:start="90"/>
        </w:sectPr>
      </w:pPr>
    </w:p>
    <w:p>
      <w:pPr>
        <w:pStyle w:val="Heading1"/>
        <w:spacing w:before="64"/>
      </w:pPr>
      <w:r>
        <w:rPr>
          <w:color w:val="0E4661"/>
        </w:rPr>
        <w:t>Income Households - 91.210(a)(4), 91.310(a)(2)</w:t>
      </w:r>
    </w:p>
    <w:p>
      <w:pPr>
        <w:pStyle w:val="BodyText"/>
        <w:spacing w:before="10"/>
        <w:rPr>
          <w:b/>
          <w:sz w:val="38"/>
        </w:rPr>
      </w:pPr>
    </w:p>
    <w:p>
      <w:pPr>
        <w:pStyle w:val="Heading4"/>
        <w:spacing w:line="276" w:lineRule="auto"/>
        <w:ind w:right="1543"/>
      </w:pPr>
      <w:r>
        <w:rPr/>
        <w:t>Describe the need for broadband wiring and connections for households, including low- and moderate-income households and neighborhoods.</w:t>
      </w:r>
    </w:p>
    <w:p>
      <w:pPr>
        <w:pStyle w:val="BodyText"/>
        <w:spacing w:line="276" w:lineRule="auto" w:before="200"/>
        <w:ind w:left="220" w:right="1359"/>
      </w:pPr>
      <w:r>
        <w:rPr/>
        <w:t>While broadband service is available in Bloomington, issues such as speed, reliability, and affordability remain barriers to full access for many households, particularly low-income and minority communities. A 2020 Digital Equity Survey revealed that low-income households face higher rates of internet disconnection and are more likely to rely on smartphones for internet access, which limits their ability </w:t>
      </w:r>
      <w:r>
        <w:rPr>
          <w:spacing w:val="-9"/>
        </w:rPr>
        <w:t>to </w:t>
      </w:r>
      <w:r>
        <w:rPr/>
        <w:t>engage with online services effectively. In fact, 12% of low-income respondents reported never using the internet, further exacerbating the digital divide.</w:t>
      </w:r>
    </w:p>
    <w:p>
      <w:pPr>
        <w:pStyle w:val="BodyText"/>
        <w:spacing w:before="5"/>
        <w:rPr>
          <w:sz w:val="16"/>
        </w:rPr>
      </w:pPr>
    </w:p>
    <w:p>
      <w:pPr>
        <w:pStyle w:val="BodyText"/>
        <w:spacing w:line="276" w:lineRule="auto"/>
        <w:ind w:left="220" w:right="1416"/>
      </w:pPr>
      <w:r>
        <w:rPr/>
        <w:t>The partnership between Hoosier Fiber Networks, GigabitNow, and Meridiam to build an open-access fiber network in Bloomington represents a significant step forward in addressing these broadband gaps. This project aims to provide 250 Mbps symmetrical speeds without bandwidth caps, ensuring that residents have access to high-quality, reliable internet. However, more work is needed to expand this infrastructure further into underserved neighborhoods, particularly those with high concentrations of low- and moderate-income residents.</w:t>
      </w:r>
    </w:p>
    <w:p>
      <w:pPr>
        <w:pStyle w:val="BodyText"/>
        <w:spacing w:before="5"/>
        <w:rPr>
          <w:sz w:val="16"/>
        </w:rPr>
      </w:pPr>
    </w:p>
    <w:p>
      <w:pPr>
        <w:pStyle w:val="Heading4"/>
        <w:spacing w:line="276" w:lineRule="auto"/>
        <w:ind w:right="1686"/>
      </w:pPr>
      <w:r>
        <w:rPr/>
        <w:t>Describe the need for increased competition by having more than one broadband Internet service provider serve the jurisdiction.</w:t>
      </w:r>
    </w:p>
    <w:p>
      <w:pPr>
        <w:pStyle w:val="BodyText"/>
        <w:spacing w:line="276" w:lineRule="auto" w:before="199"/>
        <w:ind w:left="220" w:right="1403"/>
      </w:pPr>
      <w:r>
        <w:rPr/>
        <w:t>Currently, many residents in Bloomington, particularly those in underserved or low-income areas, face high costs for broadband service, which can be prohibitive. While the city has partnered with providers like GigabitNow to offer low-cost, high-speed fiber service at $9.99 per month to eligible households, there is still a lack of competition in some parts of the city. When only one provider serves an area, they have little incentive to lower prices or offer better deals. Increased competition among ISPs would help drive down costs, making broadband access more affordable for all residents, including those who do not currently qualify for discounted programs.</w:t>
      </w:r>
    </w:p>
    <w:p>
      <w:pPr>
        <w:spacing w:after="0" w:line="276" w:lineRule="auto"/>
        <w:sectPr>
          <w:headerReference w:type="default" r:id="rId95"/>
          <w:footerReference w:type="default" r:id="rId96"/>
          <w:pgSz w:w="12240" w:h="15840"/>
          <w:pgMar w:header="1671" w:footer="1340" w:top="1980" w:bottom="1540" w:left="1220" w:right="100"/>
          <w:pgNumType w:start="91"/>
        </w:sectPr>
      </w:pPr>
    </w:p>
    <w:p>
      <w:pPr>
        <w:pStyle w:val="Heading4"/>
        <w:spacing w:before="143"/>
        <w:jc w:val="both"/>
      </w:pPr>
      <w:r>
        <w:rPr/>
        <w:t>Describe the jurisdiction’s increased natural hazard risks associated with climate change.</w:t>
      </w:r>
    </w:p>
    <w:p>
      <w:pPr>
        <w:pStyle w:val="BodyText"/>
        <w:spacing w:before="11"/>
        <w:rPr>
          <w:b/>
          <w:sz w:val="19"/>
        </w:rPr>
      </w:pPr>
    </w:p>
    <w:p>
      <w:pPr>
        <w:pStyle w:val="BodyText"/>
        <w:spacing w:line="276" w:lineRule="auto"/>
        <w:ind w:left="220" w:right="1356"/>
        <w:jc w:val="both"/>
      </w:pPr>
      <w:r>
        <w:rPr/>
        <w:t>The City of Bloomington adopted the Monroe County Multi-Hazard Mitigation Plan (HMP) on September 5, 2018. Hazards were prioritized based on the probability of occurrence and the potential impact of the occurrence. The top three hazards with the highest probability and impact are flooding, severe weather, and winter storms.</w:t>
      </w:r>
    </w:p>
    <w:p>
      <w:pPr>
        <w:pStyle w:val="BodyText"/>
        <w:spacing w:before="5"/>
        <w:rPr>
          <w:sz w:val="16"/>
        </w:rPr>
      </w:pPr>
    </w:p>
    <w:p>
      <w:pPr>
        <w:pStyle w:val="BodyText"/>
        <w:spacing w:line="276" w:lineRule="auto"/>
        <w:ind w:left="220" w:right="1407"/>
      </w:pPr>
      <w:r>
        <w:rPr/>
        <w:t>While Bloomington is not a special flood hazard zone, primarily due to not being vulnerable to riverine flooding, its relatively urban nature makes the City susceptible to flash floods. Flash floods arise with little warning and can cause locally intense damage. Urban flooding is primarily the result of inadequate drainage combined with heavy rain fall or rapid snowmelt. To mitigate risks, floodplain development should be properly regulated and current stormwater facilities and infrastructure should be up-to-date.</w:t>
      </w:r>
    </w:p>
    <w:p>
      <w:pPr>
        <w:pStyle w:val="BodyText"/>
        <w:spacing w:before="5"/>
        <w:rPr>
          <w:sz w:val="16"/>
        </w:rPr>
      </w:pPr>
    </w:p>
    <w:p>
      <w:pPr>
        <w:pStyle w:val="BodyText"/>
        <w:spacing w:line="276" w:lineRule="auto"/>
        <w:ind w:left="220" w:right="1531"/>
      </w:pPr>
      <w:r>
        <w:rPr/>
        <w:t>Severe weather is a broad category consisting of events such as thunderstorms, tornadoes, damaging winds, and hail. In particular, tornadoes are a high probability hazard. Due to the unpredictable nature of tornadoes, it is important for the City of Bloomington to keep all buildings up to code and increase public awareness of these risks to mitigate future injury, death, and property loss.</w:t>
      </w:r>
    </w:p>
    <w:p>
      <w:pPr>
        <w:pStyle w:val="BodyText"/>
        <w:spacing w:before="4"/>
        <w:rPr>
          <w:sz w:val="16"/>
        </w:rPr>
      </w:pPr>
    </w:p>
    <w:p>
      <w:pPr>
        <w:pStyle w:val="BodyText"/>
        <w:spacing w:line="276" w:lineRule="auto"/>
        <w:ind w:left="220" w:right="1338"/>
      </w:pPr>
      <w:r>
        <w:rPr/>
        <w:t>Winter storms include freezing rain, sleet, heavy snow, blizzards, icy roadways, extreme low temperatures, and strong winds. These events pose human health risks such as frostbite, hypothermia, and death. Ice storms were assessed to be the most damaging winter storm event. Ice storms are the result of cold rain that freezes on contact with objects having a temperature below freezing. This can coat power and communication lines with heavy ice, leaving large sectors of the population without power, heat, or communication. Like severe weather, winter storms have a high probability of occurring, and the severity of winter storm events is unpredictable. All buildings and infrastructure are recommended to stay up to code to mitigate damage</w:t>
      </w:r>
    </w:p>
    <w:p>
      <w:pPr>
        <w:pStyle w:val="BodyText"/>
        <w:spacing w:before="5"/>
        <w:rPr>
          <w:sz w:val="16"/>
        </w:rPr>
      </w:pPr>
    </w:p>
    <w:p>
      <w:pPr>
        <w:pStyle w:val="Heading4"/>
        <w:spacing w:line="276" w:lineRule="auto" w:before="1"/>
        <w:ind w:right="1632"/>
      </w:pPr>
      <w:r>
        <w:rPr/>
        <w:t>Describe the vulnerability to these risks of housing occupied by low- and moderate-income households based on an analysis of data, findings, and methods.</w:t>
      </w:r>
    </w:p>
    <w:p>
      <w:pPr>
        <w:pStyle w:val="BodyText"/>
        <w:spacing w:line="276" w:lineRule="auto" w:before="199"/>
        <w:ind w:left="220" w:right="1696"/>
      </w:pPr>
      <w:r>
        <w:rPr/>
        <w:t>While all households in the City are susceptible to damage and risk associated with the hazards identified above, low-income households, non-White households, and elderly households tend to be more vulnerable and are less likely to have the resources to recover.</w:t>
      </w:r>
    </w:p>
    <w:p>
      <w:pPr>
        <w:spacing w:after="0" w:line="276" w:lineRule="auto"/>
        <w:sectPr>
          <w:headerReference w:type="default" r:id="rId97"/>
          <w:footerReference w:type="default" r:id="rId98"/>
          <w:pgSz w:w="12240" w:h="15840"/>
          <w:pgMar w:header="1671" w:footer="1340" w:top="1980" w:bottom="1540" w:left="1220" w:right="100"/>
          <w:pgNumType w:start="92"/>
        </w:sectPr>
      </w:pPr>
    </w:p>
    <w:p>
      <w:pPr>
        <w:pStyle w:val="Heading2"/>
        <w:ind w:left="3991" w:right="5110"/>
      </w:pPr>
      <w:bookmarkStart w:name="_TOC_250021" w:id="1"/>
      <w:bookmarkEnd w:id="1"/>
      <w:r>
        <w:rPr/>
        <w:t>Strategic Plan</w:t>
      </w:r>
    </w:p>
    <w:p>
      <w:pPr>
        <w:pStyle w:val="Heading1"/>
        <w:spacing w:before="218"/>
      </w:pPr>
      <w:bookmarkStart w:name="_TOC_250020" w:id="2"/>
      <w:bookmarkEnd w:id="2"/>
      <w:r>
        <w:rPr>
          <w:color w:val="0E4661"/>
        </w:rPr>
        <w:t>SP-05 Overview</w:t>
      </w:r>
    </w:p>
    <w:p>
      <w:pPr>
        <w:pStyle w:val="Heading4"/>
        <w:spacing w:before="137"/>
      </w:pPr>
      <w:r>
        <w:rPr/>
        <w:t>Strategic Plan Overview</w:t>
      </w:r>
    </w:p>
    <w:p>
      <w:pPr>
        <w:pStyle w:val="BodyText"/>
        <w:rPr>
          <w:b/>
          <w:sz w:val="12"/>
        </w:rPr>
      </w:pPr>
    </w:p>
    <w:p>
      <w:pPr>
        <w:pStyle w:val="BodyText"/>
        <w:spacing w:line="276" w:lineRule="auto" w:before="93"/>
        <w:ind w:left="220" w:right="1349"/>
        <w:rPr>
          <w:rFonts w:ascii="Arial" w:hAnsi="Arial"/>
        </w:rPr>
      </w:pPr>
      <w:r>
        <w:rPr>
          <w:rFonts w:ascii="Arial" w:hAnsi="Arial"/>
        </w:rPr>
        <w:t>The purpose of the Strategic Plan is to guide the use of CDBG and HOME funds in Bloomington over the next five years. The plan is guided by three overarching goals that are applied according to the City’s needs. The goals are:</w:t>
      </w:r>
    </w:p>
    <w:p>
      <w:pPr>
        <w:pStyle w:val="ListParagraph"/>
        <w:numPr>
          <w:ilvl w:val="2"/>
          <w:numId w:val="10"/>
        </w:numPr>
        <w:tabs>
          <w:tab w:pos="939" w:val="left" w:leader="none"/>
          <w:tab w:pos="940" w:val="left" w:leader="none"/>
        </w:tabs>
        <w:spacing w:line="254" w:lineRule="auto" w:before="170" w:after="0"/>
        <w:ind w:left="940" w:right="1490" w:hanging="360"/>
        <w:jc w:val="left"/>
        <w:rPr>
          <w:rFonts w:ascii="Arial Unicode MS" w:hAnsi="Arial Unicode MS"/>
          <w:sz w:val="22"/>
        </w:rPr>
      </w:pPr>
      <w:r>
        <w:rPr>
          <w:rFonts w:ascii="Arial" w:hAnsi="Arial"/>
          <w:sz w:val="22"/>
        </w:rPr>
        <w:t>To provide decent housing by preserving the affordable housing stock in both the </w:t>
      </w:r>
      <w:r>
        <w:rPr>
          <w:rFonts w:ascii="Arial" w:hAnsi="Arial"/>
          <w:spacing w:val="-3"/>
          <w:sz w:val="22"/>
        </w:rPr>
        <w:t>rental </w:t>
      </w:r>
      <w:r>
        <w:rPr>
          <w:rFonts w:ascii="Arial" w:hAnsi="Arial"/>
          <w:sz w:val="22"/>
        </w:rPr>
        <w:t>and homeowner markets, increasing the availability of affordable housing by reducing barriers, and increasing the number of accessible units.</w:t>
      </w:r>
    </w:p>
    <w:p>
      <w:pPr>
        <w:pStyle w:val="ListParagraph"/>
        <w:numPr>
          <w:ilvl w:val="2"/>
          <w:numId w:val="10"/>
        </w:numPr>
        <w:tabs>
          <w:tab w:pos="939" w:val="left" w:leader="none"/>
          <w:tab w:pos="940" w:val="left" w:leader="none"/>
        </w:tabs>
        <w:spacing w:line="254" w:lineRule="auto" w:before="184" w:after="0"/>
        <w:ind w:left="940" w:right="1356" w:hanging="360"/>
        <w:jc w:val="left"/>
        <w:rPr>
          <w:rFonts w:ascii="Arial Unicode MS" w:hAnsi="Arial Unicode MS"/>
          <w:sz w:val="22"/>
        </w:rPr>
      </w:pPr>
      <w:r>
        <w:rPr>
          <w:rFonts w:ascii="Arial" w:hAnsi="Arial"/>
          <w:sz w:val="22"/>
        </w:rPr>
        <w:t>To improve the quality of life and living conditions for low- and moderate-income </w:t>
      </w:r>
      <w:r>
        <w:rPr>
          <w:rFonts w:ascii="Arial" w:hAnsi="Arial"/>
          <w:spacing w:val="-3"/>
          <w:sz w:val="22"/>
        </w:rPr>
        <w:t>persons </w:t>
      </w:r>
      <w:r>
        <w:rPr>
          <w:rFonts w:ascii="Arial" w:hAnsi="Arial"/>
          <w:sz w:val="22"/>
        </w:rPr>
        <w:t>through improvements in public facilities and infrastructure and the removal of slum/blighting influences.</w:t>
      </w:r>
    </w:p>
    <w:p>
      <w:pPr>
        <w:pStyle w:val="ListParagraph"/>
        <w:numPr>
          <w:ilvl w:val="2"/>
          <w:numId w:val="10"/>
        </w:numPr>
        <w:tabs>
          <w:tab w:pos="939" w:val="left" w:leader="none"/>
          <w:tab w:pos="940" w:val="left" w:leader="none"/>
        </w:tabs>
        <w:spacing w:line="232" w:lineRule="auto" w:before="192" w:after="0"/>
        <w:ind w:left="940" w:right="1406" w:hanging="360"/>
        <w:jc w:val="left"/>
        <w:rPr>
          <w:rFonts w:ascii="Arial Unicode MS" w:hAnsi="Arial Unicode MS"/>
          <w:sz w:val="22"/>
        </w:rPr>
      </w:pPr>
      <w:r>
        <w:rPr>
          <w:rFonts w:ascii="Arial" w:hAnsi="Arial"/>
          <w:sz w:val="22"/>
        </w:rPr>
        <w:t>To expand economic opportunities through more jobs paying self-sufficient wages, homeownership opportunities, development activities that promote long-term</w:t>
      </w:r>
      <w:r>
        <w:rPr>
          <w:rFonts w:ascii="Arial" w:hAnsi="Arial"/>
          <w:spacing w:val="-18"/>
          <w:sz w:val="22"/>
        </w:rPr>
        <w:t> </w:t>
      </w:r>
      <w:r>
        <w:rPr>
          <w:rFonts w:ascii="Arial" w:hAnsi="Arial"/>
          <w:sz w:val="22"/>
        </w:rPr>
        <w:t>community</w:t>
      </w:r>
    </w:p>
    <w:p>
      <w:pPr>
        <w:pStyle w:val="BodyText"/>
        <w:spacing w:line="276" w:lineRule="auto" w:before="41"/>
        <w:ind w:left="940" w:right="1498"/>
        <w:rPr>
          <w:rFonts w:ascii="Arial"/>
        </w:rPr>
      </w:pPr>
      <w:r>
        <w:rPr>
          <w:rFonts w:ascii="Arial"/>
        </w:rPr>
        <w:t>viability, and the empowerment of low- and moderate- income persons to achieve </w:t>
      </w:r>
      <w:r>
        <w:rPr>
          <w:rFonts w:ascii="Arial"/>
          <w:spacing w:val="-4"/>
        </w:rPr>
        <w:t>self- </w:t>
      </w:r>
      <w:r>
        <w:rPr>
          <w:rFonts w:ascii="Arial"/>
        </w:rPr>
        <w:t>sufficiency.</w:t>
      </w:r>
    </w:p>
    <w:p>
      <w:pPr>
        <w:pStyle w:val="BodyText"/>
        <w:spacing w:line="276" w:lineRule="auto" w:before="200"/>
        <w:ind w:left="220" w:right="2351"/>
        <w:rPr>
          <w:rFonts w:ascii="Arial"/>
        </w:rPr>
      </w:pPr>
      <w:r>
        <w:rPr>
          <w:rFonts w:ascii="Arial"/>
        </w:rPr>
        <w:t>The City developed this plan using citizen and stakeholder input generated by several stakeholder workshops, public meetings and a community needs survey.</w:t>
      </w:r>
    </w:p>
    <w:p>
      <w:pPr>
        <w:pStyle w:val="BodyText"/>
        <w:rPr>
          <w:rFonts w:ascii="Arial"/>
          <w:sz w:val="24"/>
        </w:rPr>
      </w:pPr>
    </w:p>
    <w:p>
      <w:pPr>
        <w:pStyle w:val="BodyText"/>
        <w:rPr>
          <w:rFonts w:ascii="Arial"/>
          <w:sz w:val="24"/>
        </w:rPr>
      </w:pPr>
    </w:p>
    <w:p>
      <w:pPr>
        <w:pStyle w:val="Heading1"/>
        <w:spacing w:before="191"/>
      </w:pPr>
      <w:bookmarkStart w:name="_TOC_250019" w:id="3"/>
      <w:bookmarkEnd w:id="3"/>
      <w:r>
        <w:rPr>
          <w:color w:val="0E4661"/>
        </w:rPr>
        <w:t>SP-10 Geographic Priorities – 91.215 (a)(1)</w:t>
      </w:r>
    </w:p>
    <w:p>
      <w:pPr>
        <w:pStyle w:val="Heading4"/>
        <w:spacing w:before="137"/>
      </w:pPr>
      <w:r>
        <w:rPr/>
        <w:t>Geographic Area</w:t>
      </w:r>
    </w:p>
    <w:p>
      <w:pPr>
        <w:spacing w:after="0"/>
        <w:sectPr>
          <w:headerReference w:type="default" r:id="rId99"/>
          <w:footerReference w:type="default" r:id="rId100"/>
          <w:pgSz w:w="12240" w:h="15840"/>
          <w:pgMar w:header="0" w:footer="1260" w:top="1440" w:bottom="1460" w:left="1220" w:right="100"/>
          <w:pgNumType w:start="93"/>
        </w:sectPr>
      </w:pPr>
    </w:p>
    <w:tbl>
      <w:tblPr>
        <w:tblW w:w="0" w:type="auto"/>
        <w:jc w:val="left"/>
        <w:tblInd w:w="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
        <w:gridCol w:w="577"/>
        <w:gridCol w:w="1153"/>
        <w:gridCol w:w="849"/>
        <w:gridCol w:w="707"/>
        <w:gridCol w:w="626"/>
        <w:gridCol w:w="1010"/>
        <w:gridCol w:w="678"/>
        <w:gridCol w:w="669"/>
        <w:gridCol w:w="650"/>
        <w:gridCol w:w="472"/>
        <w:gridCol w:w="638"/>
        <w:gridCol w:w="575"/>
      </w:tblGrid>
      <w:tr>
        <w:trPr>
          <w:trHeight w:val="240" w:hRule="atLeast"/>
        </w:trPr>
        <w:tc>
          <w:tcPr>
            <w:tcW w:w="491" w:type="dxa"/>
          </w:tcPr>
          <w:p>
            <w:pPr>
              <w:pStyle w:val="TableParagraph"/>
              <w:spacing w:line="204" w:lineRule="exact"/>
              <w:ind w:left="50"/>
              <w:rPr>
                <w:b/>
                <w:sz w:val="20"/>
              </w:rPr>
            </w:pPr>
            <w:r>
              <w:rPr>
                <w:b/>
                <w:sz w:val="20"/>
              </w:rPr>
              <w:t>Are</w:t>
            </w:r>
          </w:p>
        </w:tc>
        <w:tc>
          <w:tcPr>
            <w:tcW w:w="577" w:type="dxa"/>
          </w:tcPr>
          <w:p>
            <w:pPr>
              <w:pStyle w:val="TableParagraph"/>
              <w:spacing w:line="204" w:lineRule="exact"/>
              <w:ind w:left="149"/>
              <w:rPr>
                <w:b/>
                <w:sz w:val="20"/>
              </w:rPr>
            </w:pPr>
            <w:r>
              <w:rPr>
                <w:b/>
                <w:sz w:val="20"/>
              </w:rPr>
              <w:t>Are</w:t>
            </w:r>
          </w:p>
        </w:tc>
        <w:tc>
          <w:tcPr>
            <w:tcW w:w="1153" w:type="dxa"/>
          </w:tcPr>
          <w:p>
            <w:pPr>
              <w:pStyle w:val="TableParagraph"/>
              <w:spacing w:line="204" w:lineRule="exact"/>
              <w:ind w:left="109" w:right="111"/>
              <w:jc w:val="center"/>
              <w:rPr>
                <w:b/>
                <w:sz w:val="20"/>
              </w:rPr>
            </w:pPr>
            <w:r>
              <w:rPr>
                <w:b/>
                <w:sz w:val="20"/>
              </w:rPr>
              <w:t>Other Targ</w:t>
            </w:r>
          </w:p>
        </w:tc>
        <w:tc>
          <w:tcPr>
            <w:tcW w:w="849" w:type="dxa"/>
          </w:tcPr>
          <w:p>
            <w:pPr>
              <w:pStyle w:val="TableParagraph"/>
              <w:spacing w:line="204" w:lineRule="exact"/>
              <w:ind w:left="137"/>
              <w:rPr>
                <w:b/>
                <w:sz w:val="20"/>
              </w:rPr>
            </w:pPr>
            <w:r>
              <w:rPr>
                <w:b/>
                <w:sz w:val="20"/>
              </w:rPr>
              <w:t>HUD A</w:t>
            </w:r>
          </w:p>
        </w:tc>
        <w:tc>
          <w:tcPr>
            <w:tcW w:w="707" w:type="dxa"/>
          </w:tcPr>
          <w:p>
            <w:pPr>
              <w:pStyle w:val="TableParagraph"/>
              <w:spacing w:line="204" w:lineRule="exact"/>
              <w:ind w:left="31" w:right="110"/>
              <w:jc w:val="center"/>
              <w:rPr>
                <w:b/>
                <w:sz w:val="20"/>
              </w:rPr>
            </w:pPr>
            <w:r>
              <w:rPr>
                <w:b/>
                <w:sz w:val="20"/>
              </w:rPr>
              <w:t>% of</w:t>
            </w:r>
          </w:p>
        </w:tc>
        <w:tc>
          <w:tcPr>
            <w:tcW w:w="626" w:type="dxa"/>
          </w:tcPr>
          <w:p>
            <w:pPr>
              <w:pStyle w:val="TableParagraph"/>
              <w:spacing w:line="204" w:lineRule="exact"/>
              <w:ind w:left="114" w:right="105"/>
              <w:jc w:val="center"/>
              <w:rPr>
                <w:b/>
                <w:sz w:val="20"/>
              </w:rPr>
            </w:pPr>
            <w:r>
              <w:rPr>
                <w:b/>
                <w:sz w:val="20"/>
              </w:rPr>
              <w:t>Revi</w:t>
            </w:r>
          </w:p>
        </w:tc>
        <w:tc>
          <w:tcPr>
            <w:tcW w:w="1010" w:type="dxa"/>
          </w:tcPr>
          <w:p>
            <w:pPr>
              <w:pStyle w:val="TableParagraph"/>
              <w:spacing w:line="204" w:lineRule="exact"/>
              <w:ind w:left="136"/>
              <w:rPr>
                <w:b/>
                <w:sz w:val="20"/>
              </w:rPr>
            </w:pPr>
            <w:r>
              <w:rPr>
                <w:b/>
                <w:sz w:val="20"/>
              </w:rPr>
              <w:t>Other Re</w:t>
            </w:r>
          </w:p>
        </w:tc>
        <w:tc>
          <w:tcPr>
            <w:tcW w:w="678" w:type="dxa"/>
          </w:tcPr>
          <w:p>
            <w:pPr>
              <w:pStyle w:val="TableParagraph"/>
              <w:spacing w:line="204" w:lineRule="exact"/>
              <w:ind w:left="143"/>
              <w:rPr>
                <w:b/>
                <w:sz w:val="20"/>
              </w:rPr>
            </w:pPr>
            <w:r>
              <w:rPr>
                <w:b/>
                <w:sz w:val="20"/>
              </w:rPr>
              <w:t>Iden</w:t>
            </w:r>
          </w:p>
        </w:tc>
        <w:tc>
          <w:tcPr>
            <w:tcW w:w="669" w:type="dxa"/>
          </w:tcPr>
          <w:p>
            <w:pPr>
              <w:pStyle w:val="TableParagraph"/>
              <w:spacing w:line="204" w:lineRule="exact"/>
              <w:ind w:left="123"/>
              <w:rPr>
                <w:b/>
                <w:sz w:val="20"/>
              </w:rPr>
            </w:pPr>
            <w:r>
              <w:rPr>
                <w:b/>
                <w:sz w:val="20"/>
              </w:rPr>
              <w:t>Inclu</w:t>
            </w:r>
          </w:p>
        </w:tc>
        <w:tc>
          <w:tcPr>
            <w:tcW w:w="650" w:type="dxa"/>
          </w:tcPr>
          <w:p>
            <w:pPr>
              <w:pStyle w:val="TableParagraph"/>
              <w:spacing w:line="204" w:lineRule="exact"/>
              <w:ind w:left="122"/>
              <w:rPr>
                <w:b/>
                <w:sz w:val="20"/>
              </w:rPr>
            </w:pPr>
            <w:r>
              <w:rPr>
                <w:b/>
                <w:sz w:val="20"/>
              </w:rPr>
              <w:t>How</w:t>
            </w:r>
          </w:p>
        </w:tc>
        <w:tc>
          <w:tcPr>
            <w:tcW w:w="472" w:type="dxa"/>
          </w:tcPr>
          <w:p>
            <w:pPr>
              <w:pStyle w:val="TableParagraph"/>
              <w:spacing w:line="204" w:lineRule="exact"/>
              <w:ind w:left="131"/>
              <w:rPr>
                <w:b/>
                <w:sz w:val="20"/>
              </w:rPr>
            </w:pPr>
            <w:r>
              <w:rPr>
                <w:b/>
                <w:sz w:val="20"/>
              </w:rPr>
              <w:t>Id</w:t>
            </w:r>
          </w:p>
        </w:tc>
        <w:tc>
          <w:tcPr>
            <w:tcW w:w="638" w:type="dxa"/>
          </w:tcPr>
          <w:p>
            <w:pPr>
              <w:pStyle w:val="TableParagraph"/>
              <w:spacing w:line="204" w:lineRule="exact"/>
              <w:ind w:left="125"/>
              <w:rPr>
                <w:b/>
                <w:sz w:val="20"/>
              </w:rPr>
            </w:pPr>
            <w:r>
              <w:rPr>
                <w:b/>
                <w:sz w:val="20"/>
              </w:rPr>
              <w:t>Wha</w:t>
            </w:r>
          </w:p>
        </w:tc>
        <w:tc>
          <w:tcPr>
            <w:tcW w:w="575" w:type="dxa"/>
          </w:tcPr>
          <w:p>
            <w:pPr>
              <w:pStyle w:val="TableParagraph"/>
              <w:spacing w:line="204" w:lineRule="exact"/>
              <w:ind w:left="131"/>
              <w:rPr>
                <w:b/>
                <w:sz w:val="20"/>
              </w:rPr>
            </w:pPr>
            <w:r>
              <w:rPr>
                <w:b/>
                <w:sz w:val="20"/>
              </w:rPr>
              <w:t>Are</w:t>
            </w:r>
          </w:p>
        </w:tc>
      </w:tr>
      <w:tr>
        <w:trPr>
          <w:trHeight w:val="280" w:hRule="atLeast"/>
        </w:trPr>
        <w:tc>
          <w:tcPr>
            <w:tcW w:w="491" w:type="dxa"/>
          </w:tcPr>
          <w:p>
            <w:pPr>
              <w:pStyle w:val="TableParagraph"/>
              <w:ind w:left="50"/>
              <w:rPr>
                <w:b/>
                <w:sz w:val="20"/>
              </w:rPr>
            </w:pPr>
            <w:r>
              <w:rPr>
                <w:b/>
                <w:sz w:val="20"/>
              </w:rPr>
              <w:t>a N</w:t>
            </w:r>
          </w:p>
        </w:tc>
        <w:tc>
          <w:tcPr>
            <w:tcW w:w="577" w:type="dxa"/>
          </w:tcPr>
          <w:p>
            <w:pPr>
              <w:pStyle w:val="TableParagraph"/>
              <w:ind w:left="149"/>
              <w:rPr>
                <w:b/>
                <w:sz w:val="20"/>
              </w:rPr>
            </w:pPr>
            <w:r>
              <w:rPr>
                <w:b/>
                <w:sz w:val="20"/>
              </w:rPr>
              <w:t>a T</w:t>
            </w:r>
          </w:p>
        </w:tc>
        <w:tc>
          <w:tcPr>
            <w:tcW w:w="1153" w:type="dxa"/>
          </w:tcPr>
          <w:p>
            <w:pPr>
              <w:pStyle w:val="TableParagraph"/>
              <w:ind w:left="95" w:right="111"/>
              <w:jc w:val="center"/>
              <w:rPr>
                <w:b/>
                <w:sz w:val="20"/>
              </w:rPr>
            </w:pPr>
            <w:r>
              <w:rPr>
                <w:b/>
                <w:sz w:val="20"/>
              </w:rPr>
              <w:t>et Area De</w:t>
            </w:r>
          </w:p>
        </w:tc>
        <w:tc>
          <w:tcPr>
            <w:tcW w:w="849" w:type="dxa"/>
          </w:tcPr>
          <w:p>
            <w:pPr>
              <w:pStyle w:val="TableParagraph"/>
              <w:ind w:left="137"/>
              <w:rPr>
                <w:b/>
                <w:sz w:val="20"/>
              </w:rPr>
            </w:pPr>
            <w:r>
              <w:rPr>
                <w:b/>
                <w:sz w:val="20"/>
              </w:rPr>
              <w:t>pprova</w:t>
            </w:r>
          </w:p>
        </w:tc>
        <w:tc>
          <w:tcPr>
            <w:tcW w:w="707" w:type="dxa"/>
          </w:tcPr>
          <w:p>
            <w:pPr>
              <w:pStyle w:val="TableParagraph"/>
              <w:ind w:left="97" w:right="110"/>
              <w:jc w:val="center"/>
              <w:rPr>
                <w:b/>
                <w:sz w:val="20"/>
              </w:rPr>
            </w:pPr>
            <w:r>
              <w:rPr>
                <w:b/>
                <w:sz w:val="20"/>
              </w:rPr>
              <w:t>Low/</w:t>
            </w:r>
          </w:p>
        </w:tc>
        <w:tc>
          <w:tcPr>
            <w:tcW w:w="626" w:type="dxa"/>
          </w:tcPr>
          <w:p>
            <w:pPr>
              <w:pStyle w:val="TableParagraph"/>
              <w:ind w:left="118" w:right="105"/>
              <w:jc w:val="center"/>
              <w:rPr>
                <w:b/>
                <w:sz w:val="20"/>
              </w:rPr>
            </w:pPr>
            <w:r>
              <w:rPr>
                <w:b/>
                <w:sz w:val="20"/>
              </w:rPr>
              <w:t>tal T</w:t>
            </w:r>
          </w:p>
        </w:tc>
        <w:tc>
          <w:tcPr>
            <w:tcW w:w="1010" w:type="dxa"/>
          </w:tcPr>
          <w:p>
            <w:pPr>
              <w:pStyle w:val="TableParagraph"/>
              <w:ind w:left="136"/>
              <w:rPr>
                <w:b/>
                <w:sz w:val="20"/>
              </w:rPr>
            </w:pPr>
            <w:r>
              <w:rPr>
                <w:b/>
                <w:sz w:val="20"/>
              </w:rPr>
              <w:t>vital Des</w:t>
            </w:r>
          </w:p>
        </w:tc>
        <w:tc>
          <w:tcPr>
            <w:tcW w:w="678" w:type="dxa"/>
          </w:tcPr>
          <w:p>
            <w:pPr>
              <w:pStyle w:val="TableParagraph"/>
              <w:ind w:left="143"/>
              <w:rPr>
                <w:b/>
                <w:sz w:val="20"/>
              </w:rPr>
            </w:pPr>
            <w:r>
              <w:rPr>
                <w:b/>
                <w:sz w:val="20"/>
              </w:rPr>
              <w:t>tify</w:t>
            </w:r>
          </w:p>
        </w:tc>
        <w:tc>
          <w:tcPr>
            <w:tcW w:w="669" w:type="dxa"/>
          </w:tcPr>
          <w:p>
            <w:pPr>
              <w:pStyle w:val="TableParagraph"/>
              <w:ind w:left="123"/>
              <w:rPr>
                <w:b/>
                <w:sz w:val="20"/>
              </w:rPr>
            </w:pPr>
            <w:r>
              <w:rPr>
                <w:b/>
                <w:sz w:val="20"/>
              </w:rPr>
              <w:t>de</w:t>
            </w:r>
          </w:p>
        </w:tc>
        <w:tc>
          <w:tcPr>
            <w:tcW w:w="650" w:type="dxa"/>
          </w:tcPr>
          <w:p>
            <w:pPr>
              <w:pStyle w:val="TableParagraph"/>
              <w:ind w:left="122"/>
              <w:rPr>
                <w:b/>
                <w:sz w:val="20"/>
              </w:rPr>
            </w:pPr>
            <w:r>
              <w:rPr>
                <w:b/>
                <w:sz w:val="20"/>
              </w:rPr>
              <w:t>did</w:t>
            </w:r>
          </w:p>
        </w:tc>
        <w:tc>
          <w:tcPr>
            <w:tcW w:w="472" w:type="dxa"/>
          </w:tcPr>
          <w:p>
            <w:pPr>
              <w:pStyle w:val="TableParagraph"/>
              <w:ind w:left="131"/>
              <w:rPr>
                <w:b/>
                <w:sz w:val="20"/>
              </w:rPr>
            </w:pPr>
            <w:r>
              <w:rPr>
                <w:b/>
                <w:sz w:val="20"/>
              </w:rPr>
              <w:t>en</w:t>
            </w:r>
          </w:p>
        </w:tc>
        <w:tc>
          <w:tcPr>
            <w:tcW w:w="638" w:type="dxa"/>
          </w:tcPr>
          <w:p>
            <w:pPr>
              <w:pStyle w:val="TableParagraph"/>
              <w:ind w:left="125"/>
              <w:rPr>
                <w:b/>
                <w:sz w:val="20"/>
              </w:rPr>
            </w:pPr>
            <w:r>
              <w:rPr>
                <w:b/>
                <w:sz w:val="20"/>
              </w:rPr>
              <w:t>t are</w:t>
            </w:r>
          </w:p>
        </w:tc>
        <w:tc>
          <w:tcPr>
            <w:tcW w:w="575" w:type="dxa"/>
          </w:tcPr>
          <w:p>
            <w:pPr>
              <w:pStyle w:val="TableParagraph"/>
              <w:ind w:left="131"/>
              <w:rPr>
                <w:b/>
                <w:sz w:val="20"/>
              </w:rPr>
            </w:pPr>
            <w:r>
              <w:rPr>
                <w:b/>
                <w:sz w:val="20"/>
              </w:rPr>
              <w:t>ther</w:t>
            </w:r>
          </w:p>
        </w:tc>
      </w:tr>
      <w:tr>
        <w:trPr>
          <w:trHeight w:val="280" w:hRule="atLeast"/>
        </w:trPr>
        <w:tc>
          <w:tcPr>
            <w:tcW w:w="491" w:type="dxa"/>
          </w:tcPr>
          <w:p>
            <w:pPr>
              <w:pStyle w:val="TableParagraph"/>
              <w:ind w:left="50"/>
              <w:rPr>
                <w:b/>
                <w:sz w:val="20"/>
              </w:rPr>
            </w:pPr>
            <w:r>
              <w:rPr>
                <w:b/>
                <w:sz w:val="20"/>
              </w:rPr>
              <w:t>am</w:t>
            </w:r>
          </w:p>
        </w:tc>
        <w:tc>
          <w:tcPr>
            <w:tcW w:w="577" w:type="dxa"/>
          </w:tcPr>
          <w:p>
            <w:pPr>
              <w:pStyle w:val="TableParagraph"/>
              <w:ind w:left="149"/>
              <w:rPr>
                <w:b/>
                <w:sz w:val="20"/>
              </w:rPr>
            </w:pPr>
            <w:r>
              <w:rPr>
                <w:b/>
                <w:sz w:val="20"/>
              </w:rPr>
              <w:t>ype</w:t>
            </w:r>
          </w:p>
        </w:tc>
        <w:tc>
          <w:tcPr>
            <w:tcW w:w="1153" w:type="dxa"/>
          </w:tcPr>
          <w:p>
            <w:pPr>
              <w:pStyle w:val="TableParagraph"/>
              <w:ind w:left="109" w:right="224"/>
              <w:jc w:val="center"/>
              <w:rPr>
                <w:b/>
                <w:sz w:val="20"/>
              </w:rPr>
            </w:pPr>
            <w:r>
              <w:rPr>
                <w:b/>
                <w:sz w:val="20"/>
              </w:rPr>
              <w:t>scription:</w:t>
            </w:r>
          </w:p>
        </w:tc>
        <w:tc>
          <w:tcPr>
            <w:tcW w:w="849" w:type="dxa"/>
          </w:tcPr>
          <w:p>
            <w:pPr>
              <w:pStyle w:val="TableParagraph"/>
              <w:ind w:left="137"/>
              <w:rPr>
                <w:b/>
                <w:sz w:val="20"/>
              </w:rPr>
            </w:pPr>
            <w:r>
              <w:rPr>
                <w:b/>
                <w:sz w:val="20"/>
              </w:rPr>
              <w:t>l Date:</w:t>
            </w:r>
          </w:p>
        </w:tc>
        <w:tc>
          <w:tcPr>
            <w:tcW w:w="707" w:type="dxa"/>
          </w:tcPr>
          <w:p>
            <w:pPr>
              <w:pStyle w:val="TableParagraph"/>
              <w:ind w:left="111" w:right="110"/>
              <w:jc w:val="center"/>
              <w:rPr>
                <w:b/>
                <w:sz w:val="20"/>
              </w:rPr>
            </w:pPr>
            <w:r>
              <w:rPr>
                <w:b/>
                <w:sz w:val="20"/>
              </w:rPr>
              <w:t>Mod:</w:t>
            </w:r>
          </w:p>
        </w:tc>
        <w:tc>
          <w:tcPr>
            <w:tcW w:w="626" w:type="dxa"/>
          </w:tcPr>
          <w:p>
            <w:pPr>
              <w:pStyle w:val="TableParagraph"/>
              <w:ind w:left="114" w:right="105"/>
              <w:jc w:val="center"/>
              <w:rPr>
                <w:b/>
                <w:sz w:val="20"/>
              </w:rPr>
            </w:pPr>
            <w:r>
              <w:rPr>
                <w:b/>
                <w:sz w:val="20"/>
              </w:rPr>
              <w:t>ype:</w:t>
            </w:r>
          </w:p>
        </w:tc>
        <w:tc>
          <w:tcPr>
            <w:tcW w:w="1010" w:type="dxa"/>
          </w:tcPr>
          <w:p>
            <w:pPr>
              <w:pStyle w:val="TableParagraph"/>
              <w:ind w:left="136"/>
              <w:rPr>
                <w:b/>
                <w:sz w:val="20"/>
              </w:rPr>
            </w:pPr>
            <w:r>
              <w:rPr>
                <w:b/>
                <w:sz w:val="20"/>
              </w:rPr>
              <w:t>cription:</w:t>
            </w:r>
          </w:p>
        </w:tc>
        <w:tc>
          <w:tcPr>
            <w:tcW w:w="678" w:type="dxa"/>
          </w:tcPr>
          <w:p>
            <w:pPr>
              <w:pStyle w:val="TableParagraph"/>
              <w:ind w:left="143"/>
              <w:rPr>
                <w:b/>
                <w:sz w:val="20"/>
              </w:rPr>
            </w:pPr>
            <w:r>
              <w:rPr>
                <w:b/>
                <w:sz w:val="20"/>
              </w:rPr>
              <w:t>the</w:t>
            </w:r>
          </w:p>
        </w:tc>
        <w:tc>
          <w:tcPr>
            <w:tcW w:w="669" w:type="dxa"/>
          </w:tcPr>
          <w:p>
            <w:pPr>
              <w:pStyle w:val="TableParagraph"/>
              <w:ind w:left="123"/>
              <w:rPr>
                <w:b/>
                <w:sz w:val="20"/>
              </w:rPr>
            </w:pPr>
            <w:r>
              <w:rPr>
                <w:b/>
                <w:sz w:val="20"/>
              </w:rPr>
              <w:t>speci</w:t>
            </w:r>
          </w:p>
        </w:tc>
        <w:tc>
          <w:tcPr>
            <w:tcW w:w="650" w:type="dxa"/>
          </w:tcPr>
          <w:p>
            <w:pPr>
              <w:pStyle w:val="TableParagraph"/>
              <w:ind w:left="122"/>
              <w:rPr>
                <w:b/>
                <w:sz w:val="20"/>
              </w:rPr>
            </w:pPr>
            <w:r>
              <w:rPr>
                <w:b/>
                <w:sz w:val="20"/>
              </w:rPr>
              <w:t>your</w:t>
            </w:r>
          </w:p>
        </w:tc>
        <w:tc>
          <w:tcPr>
            <w:tcW w:w="472" w:type="dxa"/>
          </w:tcPr>
          <w:p>
            <w:pPr>
              <w:pStyle w:val="TableParagraph"/>
              <w:ind w:left="131"/>
              <w:rPr>
                <w:b/>
                <w:sz w:val="20"/>
              </w:rPr>
            </w:pPr>
            <w:r>
              <w:rPr>
                <w:b/>
                <w:sz w:val="20"/>
              </w:rPr>
              <w:t>tif</w:t>
            </w:r>
          </w:p>
        </w:tc>
        <w:tc>
          <w:tcPr>
            <w:tcW w:w="638" w:type="dxa"/>
          </w:tcPr>
          <w:p>
            <w:pPr>
              <w:pStyle w:val="TableParagraph"/>
              <w:ind w:left="125"/>
              <w:rPr>
                <w:b/>
                <w:sz w:val="20"/>
              </w:rPr>
            </w:pPr>
            <w:r>
              <w:rPr>
                <w:b/>
                <w:sz w:val="20"/>
              </w:rPr>
              <w:t>the</w:t>
            </w:r>
          </w:p>
        </w:tc>
        <w:tc>
          <w:tcPr>
            <w:tcW w:w="575" w:type="dxa"/>
          </w:tcPr>
          <w:p>
            <w:pPr>
              <w:pStyle w:val="TableParagraph"/>
              <w:ind w:left="131"/>
              <w:rPr>
                <w:b/>
                <w:sz w:val="20"/>
              </w:rPr>
            </w:pPr>
            <w:r>
              <w:rPr>
                <w:b/>
                <w:sz w:val="20"/>
              </w:rPr>
              <w:t>e</w:t>
            </w:r>
          </w:p>
        </w:tc>
      </w:tr>
      <w:tr>
        <w:trPr>
          <w:trHeight w:val="280" w:hRule="atLeast"/>
        </w:trPr>
        <w:tc>
          <w:tcPr>
            <w:tcW w:w="491" w:type="dxa"/>
          </w:tcPr>
          <w:p>
            <w:pPr>
              <w:pStyle w:val="TableParagraph"/>
              <w:ind w:left="50"/>
              <w:rPr>
                <w:b/>
                <w:sz w:val="20"/>
              </w:rPr>
            </w:pPr>
            <w:r>
              <w:rPr>
                <w:b/>
                <w:sz w:val="20"/>
              </w:rPr>
              <w:t>e:</w:t>
            </w:r>
          </w:p>
        </w:tc>
        <w:tc>
          <w:tcPr>
            <w:tcW w:w="577" w:type="dxa"/>
          </w:tcPr>
          <w:p>
            <w:pPr>
              <w:pStyle w:val="TableParagraph"/>
              <w:ind w:left="149"/>
              <w:rPr>
                <w:b/>
                <w:sz w:val="20"/>
              </w:rPr>
            </w:pPr>
            <w:r>
              <w:rPr>
                <w:b/>
                <w:sz w:val="20"/>
              </w:rPr>
              <w:t>:</w:t>
            </w: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neig</w:t>
            </w:r>
          </w:p>
        </w:tc>
        <w:tc>
          <w:tcPr>
            <w:tcW w:w="669" w:type="dxa"/>
          </w:tcPr>
          <w:p>
            <w:pPr>
              <w:pStyle w:val="TableParagraph"/>
              <w:ind w:left="123"/>
              <w:rPr>
                <w:b/>
                <w:sz w:val="20"/>
              </w:rPr>
            </w:pPr>
            <w:r>
              <w:rPr>
                <w:b/>
                <w:sz w:val="20"/>
              </w:rPr>
              <w:t>fic</w:t>
            </w:r>
          </w:p>
        </w:tc>
        <w:tc>
          <w:tcPr>
            <w:tcW w:w="650" w:type="dxa"/>
          </w:tcPr>
          <w:p>
            <w:pPr>
              <w:pStyle w:val="TableParagraph"/>
              <w:ind w:left="122"/>
              <w:rPr>
                <w:b/>
                <w:sz w:val="20"/>
              </w:rPr>
            </w:pPr>
            <w:r>
              <w:rPr>
                <w:b/>
                <w:sz w:val="20"/>
              </w:rPr>
              <w:t>cons</w:t>
            </w:r>
          </w:p>
        </w:tc>
        <w:tc>
          <w:tcPr>
            <w:tcW w:w="472" w:type="dxa"/>
          </w:tcPr>
          <w:p>
            <w:pPr>
              <w:pStyle w:val="TableParagraph"/>
              <w:ind w:left="131"/>
              <w:rPr>
                <w:b/>
                <w:sz w:val="20"/>
              </w:rPr>
            </w:pPr>
            <w:r>
              <w:rPr>
                <w:b/>
                <w:sz w:val="20"/>
              </w:rPr>
              <w:t>y</w:t>
            </w:r>
          </w:p>
        </w:tc>
        <w:tc>
          <w:tcPr>
            <w:tcW w:w="638" w:type="dxa"/>
          </w:tcPr>
          <w:p>
            <w:pPr>
              <w:pStyle w:val="TableParagraph"/>
              <w:ind w:left="125"/>
              <w:rPr>
                <w:b/>
                <w:sz w:val="20"/>
              </w:rPr>
            </w:pPr>
            <w:r>
              <w:rPr>
                <w:b/>
                <w:sz w:val="20"/>
              </w:rPr>
              <w:t>opp</w:t>
            </w:r>
          </w:p>
        </w:tc>
        <w:tc>
          <w:tcPr>
            <w:tcW w:w="575" w:type="dxa"/>
          </w:tcPr>
          <w:p>
            <w:pPr>
              <w:pStyle w:val="TableParagraph"/>
              <w:ind w:left="131"/>
              <w:rPr>
                <w:b/>
                <w:sz w:val="20"/>
              </w:rPr>
            </w:pPr>
            <w:r>
              <w:rPr>
                <w:b/>
                <w:sz w:val="20"/>
              </w:rPr>
              <w:t>barri</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hbor</w:t>
            </w:r>
          </w:p>
        </w:tc>
        <w:tc>
          <w:tcPr>
            <w:tcW w:w="669" w:type="dxa"/>
          </w:tcPr>
          <w:p>
            <w:pPr>
              <w:pStyle w:val="TableParagraph"/>
              <w:ind w:left="123"/>
              <w:rPr>
                <w:b/>
                <w:sz w:val="20"/>
              </w:rPr>
            </w:pPr>
            <w:r>
              <w:rPr>
                <w:b/>
                <w:sz w:val="20"/>
              </w:rPr>
              <w:t>hous</w:t>
            </w:r>
          </w:p>
        </w:tc>
        <w:tc>
          <w:tcPr>
            <w:tcW w:w="650" w:type="dxa"/>
          </w:tcPr>
          <w:p>
            <w:pPr>
              <w:pStyle w:val="TableParagraph"/>
              <w:ind w:left="122"/>
              <w:rPr>
                <w:b/>
                <w:sz w:val="20"/>
              </w:rPr>
            </w:pPr>
            <w:r>
              <w:rPr>
                <w:b/>
                <w:sz w:val="20"/>
              </w:rPr>
              <w:t>ultat</w:t>
            </w:r>
          </w:p>
        </w:tc>
        <w:tc>
          <w:tcPr>
            <w:tcW w:w="472" w:type="dxa"/>
          </w:tcPr>
          <w:p>
            <w:pPr>
              <w:pStyle w:val="TableParagraph"/>
              <w:ind w:left="131"/>
              <w:rPr>
                <w:b/>
                <w:sz w:val="20"/>
              </w:rPr>
            </w:pPr>
            <w:r>
              <w:rPr>
                <w:b/>
                <w:sz w:val="20"/>
              </w:rPr>
              <w:t>th</w:t>
            </w:r>
          </w:p>
        </w:tc>
        <w:tc>
          <w:tcPr>
            <w:tcW w:w="638" w:type="dxa"/>
          </w:tcPr>
          <w:p>
            <w:pPr>
              <w:pStyle w:val="TableParagraph"/>
              <w:ind w:left="125"/>
              <w:rPr>
                <w:b/>
                <w:sz w:val="20"/>
              </w:rPr>
            </w:pPr>
            <w:r>
              <w:rPr>
                <w:b/>
                <w:sz w:val="20"/>
              </w:rPr>
              <w:t>ortu</w:t>
            </w:r>
          </w:p>
        </w:tc>
        <w:tc>
          <w:tcPr>
            <w:tcW w:w="575" w:type="dxa"/>
          </w:tcPr>
          <w:p>
            <w:pPr>
              <w:pStyle w:val="TableParagraph"/>
              <w:ind w:left="131"/>
              <w:rPr>
                <w:b/>
                <w:sz w:val="20"/>
              </w:rPr>
            </w:pPr>
            <w:r>
              <w:rPr>
                <w:b/>
                <w:sz w:val="20"/>
              </w:rPr>
              <w:t>ers</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hoo</w:t>
            </w:r>
          </w:p>
        </w:tc>
        <w:tc>
          <w:tcPr>
            <w:tcW w:w="669" w:type="dxa"/>
          </w:tcPr>
          <w:p>
            <w:pPr>
              <w:pStyle w:val="TableParagraph"/>
              <w:ind w:left="123"/>
              <w:rPr>
                <w:b/>
                <w:sz w:val="20"/>
              </w:rPr>
            </w:pPr>
            <w:r>
              <w:rPr>
                <w:b/>
                <w:sz w:val="20"/>
              </w:rPr>
              <w:t>ing</w:t>
            </w:r>
          </w:p>
        </w:tc>
        <w:tc>
          <w:tcPr>
            <w:tcW w:w="650" w:type="dxa"/>
          </w:tcPr>
          <w:p>
            <w:pPr>
              <w:pStyle w:val="TableParagraph"/>
              <w:ind w:left="122"/>
              <w:rPr>
                <w:b/>
                <w:sz w:val="20"/>
              </w:rPr>
            </w:pPr>
            <w:r>
              <w:rPr>
                <w:b/>
                <w:sz w:val="20"/>
              </w:rPr>
              <w:t>ion</w:t>
            </w:r>
          </w:p>
        </w:tc>
        <w:tc>
          <w:tcPr>
            <w:tcW w:w="472" w:type="dxa"/>
          </w:tcPr>
          <w:p>
            <w:pPr>
              <w:pStyle w:val="TableParagraph"/>
              <w:ind w:left="131"/>
              <w:rPr>
                <w:b/>
                <w:sz w:val="20"/>
              </w:rPr>
            </w:pPr>
            <w:r>
              <w:rPr>
                <w:b/>
                <w:sz w:val="20"/>
              </w:rPr>
              <w:t>e</w:t>
            </w:r>
          </w:p>
        </w:tc>
        <w:tc>
          <w:tcPr>
            <w:tcW w:w="638" w:type="dxa"/>
          </w:tcPr>
          <w:p>
            <w:pPr>
              <w:pStyle w:val="TableParagraph"/>
              <w:ind w:left="125"/>
              <w:rPr>
                <w:b/>
                <w:sz w:val="20"/>
              </w:rPr>
            </w:pPr>
            <w:r>
              <w:rPr>
                <w:b/>
                <w:sz w:val="20"/>
              </w:rPr>
              <w:t>nitie</w:t>
            </w:r>
          </w:p>
        </w:tc>
        <w:tc>
          <w:tcPr>
            <w:tcW w:w="575" w:type="dxa"/>
          </w:tcPr>
          <w:p>
            <w:pPr>
              <w:pStyle w:val="TableParagraph"/>
              <w:ind w:left="131"/>
              <w:rPr>
                <w:b/>
                <w:sz w:val="20"/>
              </w:rPr>
            </w:pPr>
            <w:r>
              <w:rPr>
                <w:b/>
                <w:sz w:val="20"/>
              </w:rPr>
              <w:t>to</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d</w:t>
            </w:r>
          </w:p>
        </w:tc>
        <w:tc>
          <w:tcPr>
            <w:tcW w:w="669" w:type="dxa"/>
          </w:tcPr>
          <w:p>
            <w:pPr>
              <w:pStyle w:val="TableParagraph"/>
              <w:ind w:left="123"/>
              <w:rPr>
                <w:b/>
                <w:sz w:val="20"/>
              </w:rPr>
            </w:pPr>
            <w:r>
              <w:rPr>
                <w:b/>
                <w:sz w:val="20"/>
              </w:rPr>
              <w:t>and</w:t>
            </w:r>
          </w:p>
        </w:tc>
        <w:tc>
          <w:tcPr>
            <w:tcW w:w="650" w:type="dxa"/>
          </w:tcPr>
          <w:p>
            <w:pPr>
              <w:pStyle w:val="TableParagraph"/>
              <w:ind w:left="122"/>
              <w:rPr>
                <w:b/>
                <w:sz w:val="20"/>
              </w:rPr>
            </w:pPr>
            <w:r>
              <w:rPr>
                <w:b/>
                <w:sz w:val="20"/>
              </w:rPr>
              <w:t>and</w:t>
            </w:r>
          </w:p>
        </w:tc>
        <w:tc>
          <w:tcPr>
            <w:tcW w:w="472" w:type="dxa"/>
          </w:tcPr>
          <w:p>
            <w:pPr>
              <w:pStyle w:val="TableParagraph"/>
              <w:ind w:left="131"/>
              <w:rPr>
                <w:b/>
                <w:sz w:val="20"/>
              </w:rPr>
            </w:pPr>
            <w:r>
              <w:rPr>
                <w:b/>
                <w:sz w:val="20"/>
              </w:rPr>
              <w:t>ne</w:t>
            </w:r>
          </w:p>
        </w:tc>
        <w:tc>
          <w:tcPr>
            <w:tcW w:w="638" w:type="dxa"/>
          </w:tcPr>
          <w:p>
            <w:pPr>
              <w:pStyle w:val="TableParagraph"/>
              <w:ind w:left="125"/>
              <w:rPr>
                <w:b/>
                <w:sz w:val="20"/>
              </w:rPr>
            </w:pPr>
            <w:r>
              <w:rPr>
                <w:b/>
                <w:sz w:val="20"/>
              </w:rPr>
              <w:t>s for</w:t>
            </w:r>
          </w:p>
        </w:tc>
        <w:tc>
          <w:tcPr>
            <w:tcW w:w="575" w:type="dxa"/>
          </w:tcPr>
          <w:p>
            <w:pPr>
              <w:pStyle w:val="TableParagraph"/>
              <w:ind w:left="131"/>
              <w:rPr>
                <w:b/>
                <w:sz w:val="20"/>
              </w:rPr>
            </w:pPr>
            <w:r>
              <w:rPr>
                <w:b/>
                <w:sz w:val="20"/>
              </w:rPr>
              <w:t>impr</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bou</w:t>
            </w:r>
          </w:p>
        </w:tc>
        <w:tc>
          <w:tcPr>
            <w:tcW w:w="669" w:type="dxa"/>
          </w:tcPr>
          <w:p>
            <w:pPr>
              <w:pStyle w:val="TableParagraph"/>
              <w:ind w:left="123"/>
              <w:rPr>
                <w:b/>
                <w:sz w:val="20"/>
              </w:rPr>
            </w:pPr>
            <w:r>
              <w:rPr>
                <w:b/>
                <w:sz w:val="20"/>
              </w:rPr>
              <w:t>com</w:t>
            </w:r>
          </w:p>
        </w:tc>
        <w:tc>
          <w:tcPr>
            <w:tcW w:w="650" w:type="dxa"/>
          </w:tcPr>
          <w:p>
            <w:pPr>
              <w:pStyle w:val="TableParagraph"/>
              <w:ind w:left="122"/>
              <w:rPr>
                <w:b/>
                <w:sz w:val="20"/>
              </w:rPr>
            </w:pPr>
            <w:r>
              <w:rPr>
                <w:b/>
                <w:sz w:val="20"/>
              </w:rPr>
              <w:t>citiz</w:t>
            </w:r>
          </w:p>
        </w:tc>
        <w:tc>
          <w:tcPr>
            <w:tcW w:w="472" w:type="dxa"/>
          </w:tcPr>
          <w:p>
            <w:pPr>
              <w:pStyle w:val="TableParagraph"/>
              <w:ind w:left="131"/>
              <w:rPr>
                <w:b/>
                <w:sz w:val="20"/>
              </w:rPr>
            </w:pPr>
            <w:r>
              <w:rPr>
                <w:b/>
                <w:sz w:val="20"/>
              </w:rPr>
              <w:t>ed</w:t>
            </w:r>
          </w:p>
        </w:tc>
        <w:tc>
          <w:tcPr>
            <w:tcW w:w="638" w:type="dxa"/>
          </w:tcPr>
          <w:p>
            <w:pPr>
              <w:pStyle w:val="TableParagraph"/>
              <w:ind w:left="125"/>
              <w:rPr>
                <w:b/>
                <w:sz w:val="20"/>
              </w:rPr>
            </w:pPr>
            <w:r>
              <w:rPr>
                <w:b/>
                <w:sz w:val="20"/>
              </w:rPr>
              <w:t>impr</w:t>
            </w:r>
          </w:p>
        </w:tc>
        <w:tc>
          <w:tcPr>
            <w:tcW w:w="575" w:type="dxa"/>
          </w:tcPr>
          <w:p>
            <w:pPr>
              <w:pStyle w:val="TableParagraph"/>
              <w:ind w:left="131"/>
              <w:rPr>
                <w:b/>
                <w:sz w:val="20"/>
              </w:rPr>
            </w:pPr>
            <w:r>
              <w:rPr>
                <w:b/>
                <w:sz w:val="20"/>
              </w:rPr>
              <w:t>ove</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ndar</w:t>
            </w:r>
          </w:p>
        </w:tc>
        <w:tc>
          <w:tcPr>
            <w:tcW w:w="669" w:type="dxa"/>
          </w:tcPr>
          <w:p>
            <w:pPr>
              <w:pStyle w:val="TableParagraph"/>
              <w:ind w:left="123"/>
              <w:rPr>
                <w:b/>
                <w:sz w:val="20"/>
              </w:rPr>
            </w:pPr>
            <w:r>
              <w:rPr>
                <w:b/>
                <w:sz w:val="20"/>
              </w:rPr>
              <w:t>merc</w:t>
            </w:r>
          </w:p>
        </w:tc>
        <w:tc>
          <w:tcPr>
            <w:tcW w:w="650" w:type="dxa"/>
          </w:tcPr>
          <w:p>
            <w:pPr>
              <w:pStyle w:val="TableParagraph"/>
              <w:ind w:left="122"/>
              <w:rPr>
                <w:b/>
                <w:sz w:val="20"/>
              </w:rPr>
            </w:pPr>
            <w:r>
              <w:rPr>
                <w:b/>
                <w:sz w:val="20"/>
              </w:rPr>
              <w:t>en</w:t>
            </w:r>
          </w:p>
        </w:tc>
        <w:tc>
          <w:tcPr>
            <w:tcW w:w="472" w:type="dxa"/>
          </w:tcPr>
          <w:p>
            <w:pPr>
              <w:pStyle w:val="TableParagraph"/>
              <w:ind w:left="131"/>
              <w:rPr>
                <w:b/>
                <w:sz w:val="20"/>
              </w:rPr>
            </w:pPr>
            <w:r>
              <w:rPr>
                <w:b/>
                <w:sz w:val="20"/>
              </w:rPr>
              <w:t>s</w:t>
            </w:r>
          </w:p>
        </w:tc>
        <w:tc>
          <w:tcPr>
            <w:tcW w:w="638" w:type="dxa"/>
          </w:tcPr>
          <w:p>
            <w:pPr>
              <w:pStyle w:val="TableParagraph"/>
              <w:ind w:left="125"/>
              <w:rPr>
                <w:b/>
                <w:sz w:val="20"/>
              </w:rPr>
            </w:pPr>
            <w:r>
              <w:rPr>
                <w:b/>
                <w:sz w:val="20"/>
              </w:rPr>
              <w:t>ove</w:t>
            </w:r>
          </w:p>
        </w:tc>
        <w:tc>
          <w:tcPr>
            <w:tcW w:w="575" w:type="dxa"/>
          </w:tcPr>
          <w:p>
            <w:pPr>
              <w:pStyle w:val="TableParagraph"/>
              <w:ind w:left="131"/>
              <w:rPr>
                <w:b/>
                <w:sz w:val="20"/>
              </w:rPr>
            </w:pPr>
            <w:r>
              <w:rPr>
                <w:b/>
                <w:sz w:val="20"/>
              </w:rPr>
              <w:t>men</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ies</w:t>
            </w:r>
          </w:p>
        </w:tc>
        <w:tc>
          <w:tcPr>
            <w:tcW w:w="669" w:type="dxa"/>
          </w:tcPr>
          <w:p>
            <w:pPr>
              <w:pStyle w:val="TableParagraph"/>
              <w:ind w:left="123"/>
              <w:rPr>
                <w:b/>
                <w:sz w:val="20"/>
              </w:rPr>
            </w:pPr>
            <w:r>
              <w:rPr>
                <w:b/>
                <w:sz w:val="20"/>
              </w:rPr>
              <w:t>ial</w:t>
            </w:r>
          </w:p>
        </w:tc>
        <w:tc>
          <w:tcPr>
            <w:tcW w:w="650" w:type="dxa"/>
          </w:tcPr>
          <w:p>
            <w:pPr>
              <w:pStyle w:val="TableParagraph"/>
              <w:ind w:left="122"/>
              <w:rPr>
                <w:b/>
                <w:sz w:val="20"/>
              </w:rPr>
            </w:pPr>
            <w:r>
              <w:rPr>
                <w:b/>
                <w:sz w:val="20"/>
              </w:rPr>
              <w:t>parti</w:t>
            </w:r>
          </w:p>
        </w:tc>
        <w:tc>
          <w:tcPr>
            <w:tcW w:w="472" w:type="dxa"/>
          </w:tcPr>
          <w:p>
            <w:pPr>
              <w:pStyle w:val="TableParagraph"/>
              <w:ind w:left="131"/>
              <w:rPr>
                <w:b/>
                <w:sz w:val="20"/>
              </w:rPr>
            </w:pPr>
            <w:r>
              <w:rPr>
                <w:b/>
                <w:sz w:val="20"/>
              </w:rPr>
              <w:t>in</w:t>
            </w:r>
          </w:p>
        </w:tc>
        <w:tc>
          <w:tcPr>
            <w:tcW w:w="638" w:type="dxa"/>
          </w:tcPr>
          <w:p>
            <w:pPr>
              <w:pStyle w:val="TableParagraph"/>
              <w:ind w:left="125"/>
              <w:rPr>
                <w:b/>
                <w:sz w:val="20"/>
              </w:rPr>
            </w:pPr>
            <w:r>
              <w:rPr>
                <w:b/>
                <w:sz w:val="20"/>
              </w:rPr>
              <w:t>men</w:t>
            </w:r>
          </w:p>
        </w:tc>
        <w:tc>
          <w:tcPr>
            <w:tcW w:w="575" w:type="dxa"/>
          </w:tcPr>
          <w:p>
            <w:pPr>
              <w:pStyle w:val="TableParagraph"/>
              <w:ind w:left="131"/>
              <w:rPr>
                <w:b/>
                <w:sz w:val="20"/>
              </w:rPr>
            </w:pPr>
            <w:r>
              <w:rPr>
                <w:b/>
                <w:sz w:val="20"/>
              </w:rPr>
              <w:t>t in</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for</w:t>
            </w:r>
          </w:p>
        </w:tc>
        <w:tc>
          <w:tcPr>
            <w:tcW w:w="669" w:type="dxa"/>
          </w:tcPr>
          <w:p>
            <w:pPr>
              <w:pStyle w:val="TableParagraph"/>
              <w:ind w:left="123"/>
              <w:rPr>
                <w:b/>
                <w:sz w:val="20"/>
              </w:rPr>
            </w:pPr>
            <w:r>
              <w:rPr>
                <w:b/>
                <w:sz w:val="20"/>
              </w:rPr>
              <w:t>char</w:t>
            </w:r>
          </w:p>
        </w:tc>
        <w:tc>
          <w:tcPr>
            <w:tcW w:w="650" w:type="dxa"/>
          </w:tcPr>
          <w:p>
            <w:pPr>
              <w:pStyle w:val="TableParagraph"/>
              <w:ind w:left="122"/>
              <w:rPr>
                <w:b/>
                <w:sz w:val="20"/>
              </w:rPr>
            </w:pPr>
            <w:r>
              <w:rPr>
                <w:b/>
                <w:sz w:val="20"/>
              </w:rPr>
              <w:t>cipat</w:t>
            </w:r>
          </w:p>
        </w:tc>
        <w:tc>
          <w:tcPr>
            <w:tcW w:w="472" w:type="dxa"/>
          </w:tcPr>
          <w:p>
            <w:pPr>
              <w:pStyle w:val="TableParagraph"/>
              <w:ind w:left="131"/>
              <w:rPr>
                <w:b/>
                <w:sz w:val="20"/>
              </w:rPr>
            </w:pPr>
            <w:r>
              <w:rPr>
                <w:b/>
                <w:sz w:val="20"/>
              </w:rPr>
              <w:t>thi</w:t>
            </w:r>
          </w:p>
        </w:tc>
        <w:tc>
          <w:tcPr>
            <w:tcW w:w="638" w:type="dxa"/>
          </w:tcPr>
          <w:p>
            <w:pPr>
              <w:pStyle w:val="TableParagraph"/>
              <w:ind w:left="125"/>
              <w:rPr>
                <w:b/>
                <w:sz w:val="20"/>
              </w:rPr>
            </w:pPr>
            <w:r>
              <w:rPr>
                <w:b/>
                <w:sz w:val="20"/>
              </w:rPr>
              <w:t>t in</w:t>
            </w:r>
          </w:p>
        </w:tc>
        <w:tc>
          <w:tcPr>
            <w:tcW w:w="575" w:type="dxa"/>
          </w:tcPr>
          <w:p>
            <w:pPr>
              <w:pStyle w:val="TableParagraph"/>
              <w:ind w:left="131"/>
              <w:rPr>
                <w:b/>
                <w:sz w:val="20"/>
              </w:rPr>
            </w:pPr>
            <w:r>
              <w:rPr>
                <w:b/>
                <w:sz w:val="20"/>
              </w:rPr>
              <w:t>this</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this</w:t>
            </w:r>
          </w:p>
        </w:tc>
        <w:tc>
          <w:tcPr>
            <w:tcW w:w="669" w:type="dxa"/>
          </w:tcPr>
          <w:p>
            <w:pPr>
              <w:pStyle w:val="TableParagraph"/>
              <w:ind w:left="123"/>
              <w:rPr>
                <w:b/>
                <w:sz w:val="20"/>
              </w:rPr>
            </w:pPr>
            <w:r>
              <w:rPr>
                <w:b/>
                <w:sz w:val="20"/>
              </w:rPr>
              <w:t>acter</w:t>
            </w:r>
          </w:p>
        </w:tc>
        <w:tc>
          <w:tcPr>
            <w:tcW w:w="650" w:type="dxa"/>
          </w:tcPr>
          <w:p>
            <w:pPr>
              <w:pStyle w:val="TableParagraph"/>
              <w:ind w:left="122"/>
              <w:rPr>
                <w:b/>
                <w:sz w:val="20"/>
              </w:rPr>
            </w:pPr>
            <w:r>
              <w:rPr>
                <w:b/>
                <w:sz w:val="20"/>
              </w:rPr>
              <w:t>ion</w:t>
            </w:r>
          </w:p>
        </w:tc>
        <w:tc>
          <w:tcPr>
            <w:tcW w:w="472" w:type="dxa"/>
          </w:tcPr>
          <w:p>
            <w:pPr>
              <w:pStyle w:val="TableParagraph"/>
              <w:ind w:left="131"/>
              <w:rPr>
                <w:b/>
                <w:sz w:val="20"/>
              </w:rPr>
            </w:pPr>
            <w:r>
              <w:rPr>
                <w:b/>
                <w:sz w:val="20"/>
              </w:rPr>
              <w:t>s</w:t>
            </w:r>
          </w:p>
        </w:tc>
        <w:tc>
          <w:tcPr>
            <w:tcW w:w="638" w:type="dxa"/>
          </w:tcPr>
          <w:p>
            <w:pPr>
              <w:pStyle w:val="TableParagraph"/>
              <w:ind w:left="125"/>
              <w:rPr>
                <w:b/>
                <w:sz w:val="20"/>
              </w:rPr>
            </w:pPr>
            <w:r>
              <w:rPr>
                <w:b/>
                <w:sz w:val="20"/>
              </w:rPr>
              <w:t>this</w:t>
            </w:r>
          </w:p>
        </w:tc>
        <w:tc>
          <w:tcPr>
            <w:tcW w:w="575" w:type="dxa"/>
          </w:tcPr>
          <w:p>
            <w:pPr>
              <w:pStyle w:val="TableParagraph"/>
              <w:ind w:left="131"/>
              <w:rPr>
                <w:b/>
                <w:sz w:val="20"/>
              </w:rPr>
            </w:pPr>
            <w:r>
              <w:rPr>
                <w:b/>
                <w:sz w:val="20"/>
              </w:rPr>
              <w:t>targ</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targ</w:t>
            </w:r>
          </w:p>
        </w:tc>
        <w:tc>
          <w:tcPr>
            <w:tcW w:w="669" w:type="dxa"/>
          </w:tcPr>
          <w:p>
            <w:pPr>
              <w:pStyle w:val="TableParagraph"/>
              <w:ind w:left="123"/>
              <w:rPr>
                <w:b/>
                <w:sz w:val="20"/>
              </w:rPr>
            </w:pPr>
            <w:r>
              <w:rPr>
                <w:b/>
                <w:sz w:val="20"/>
              </w:rPr>
              <w:t>istics</w:t>
            </w:r>
          </w:p>
        </w:tc>
        <w:tc>
          <w:tcPr>
            <w:tcW w:w="650" w:type="dxa"/>
          </w:tcPr>
          <w:p>
            <w:pPr>
              <w:pStyle w:val="TableParagraph"/>
              <w:ind w:left="122"/>
              <w:rPr>
                <w:b/>
                <w:sz w:val="20"/>
              </w:rPr>
            </w:pPr>
            <w:r>
              <w:rPr>
                <w:b/>
                <w:sz w:val="20"/>
              </w:rPr>
              <w:t>proc</w:t>
            </w:r>
          </w:p>
        </w:tc>
        <w:tc>
          <w:tcPr>
            <w:tcW w:w="472" w:type="dxa"/>
          </w:tcPr>
          <w:p>
            <w:pPr>
              <w:pStyle w:val="TableParagraph"/>
              <w:ind w:left="131"/>
              <w:rPr>
                <w:b/>
                <w:sz w:val="20"/>
              </w:rPr>
            </w:pPr>
            <w:r>
              <w:rPr>
                <w:b/>
                <w:sz w:val="20"/>
              </w:rPr>
              <w:t>ta</w:t>
            </w:r>
          </w:p>
        </w:tc>
        <w:tc>
          <w:tcPr>
            <w:tcW w:w="638" w:type="dxa"/>
          </w:tcPr>
          <w:p>
            <w:pPr>
              <w:pStyle w:val="TableParagraph"/>
              <w:ind w:left="125"/>
              <w:rPr>
                <w:b/>
                <w:sz w:val="20"/>
              </w:rPr>
            </w:pPr>
            <w:r>
              <w:rPr>
                <w:b/>
                <w:sz w:val="20"/>
              </w:rPr>
              <w:t>targ</w:t>
            </w:r>
          </w:p>
        </w:tc>
        <w:tc>
          <w:tcPr>
            <w:tcW w:w="575" w:type="dxa"/>
          </w:tcPr>
          <w:p>
            <w:pPr>
              <w:pStyle w:val="TableParagraph"/>
              <w:ind w:left="131"/>
              <w:rPr>
                <w:b/>
                <w:sz w:val="20"/>
              </w:rPr>
            </w:pPr>
            <w:r>
              <w:rPr>
                <w:b/>
                <w:sz w:val="20"/>
              </w:rPr>
              <w:t>et</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et</w:t>
            </w:r>
          </w:p>
        </w:tc>
        <w:tc>
          <w:tcPr>
            <w:tcW w:w="669" w:type="dxa"/>
          </w:tcPr>
          <w:p>
            <w:pPr>
              <w:pStyle w:val="TableParagraph"/>
              <w:ind w:left="123"/>
              <w:rPr>
                <w:b/>
                <w:sz w:val="20"/>
              </w:rPr>
            </w:pPr>
            <w:r>
              <w:rPr>
                <w:b/>
                <w:sz w:val="20"/>
              </w:rPr>
              <w:t>of</w:t>
            </w:r>
          </w:p>
        </w:tc>
        <w:tc>
          <w:tcPr>
            <w:tcW w:w="650" w:type="dxa"/>
          </w:tcPr>
          <w:p>
            <w:pPr>
              <w:pStyle w:val="TableParagraph"/>
              <w:ind w:left="122"/>
              <w:rPr>
                <w:b/>
                <w:sz w:val="20"/>
              </w:rPr>
            </w:pPr>
            <w:r>
              <w:rPr>
                <w:b/>
                <w:sz w:val="20"/>
              </w:rPr>
              <w:t>ess</w:t>
            </w:r>
          </w:p>
        </w:tc>
        <w:tc>
          <w:tcPr>
            <w:tcW w:w="472" w:type="dxa"/>
          </w:tcPr>
          <w:p>
            <w:pPr>
              <w:pStyle w:val="TableParagraph"/>
              <w:ind w:left="131"/>
              <w:rPr>
                <w:b/>
                <w:sz w:val="20"/>
              </w:rPr>
            </w:pPr>
            <w:r>
              <w:rPr>
                <w:b/>
                <w:sz w:val="20"/>
              </w:rPr>
              <w:t>rg</w:t>
            </w:r>
          </w:p>
        </w:tc>
        <w:tc>
          <w:tcPr>
            <w:tcW w:w="638" w:type="dxa"/>
          </w:tcPr>
          <w:p>
            <w:pPr>
              <w:pStyle w:val="TableParagraph"/>
              <w:ind w:left="125"/>
              <w:rPr>
                <w:b/>
                <w:sz w:val="20"/>
              </w:rPr>
            </w:pPr>
            <w:r>
              <w:rPr>
                <w:b/>
                <w:sz w:val="20"/>
              </w:rPr>
              <w:t>et</w:t>
            </w:r>
          </w:p>
        </w:tc>
        <w:tc>
          <w:tcPr>
            <w:tcW w:w="575" w:type="dxa"/>
          </w:tcPr>
          <w:p>
            <w:pPr>
              <w:pStyle w:val="TableParagraph"/>
              <w:ind w:left="131"/>
              <w:rPr>
                <w:b/>
                <w:sz w:val="20"/>
              </w:rPr>
            </w:pPr>
            <w:r>
              <w:rPr>
                <w:b/>
                <w:sz w:val="20"/>
              </w:rPr>
              <w:t>area</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ind w:left="143"/>
              <w:rPr>
                <w:b/>
                <w:sz w:val="20"/>
              </w:rPr>
            </w:pPr>
            <w:r>
              <w:rPr>
                <w:b/>
                <w:sz w:val="20"/>
              </w:rPr>
              <w:t>area.</w:t>
            </w:r>
          </w:p>
        </w:tc>
        <w:tc>
          <w:tcPr>
            <w:tcW w:w="669" w:type="dxa"/>
          </w:tcPr>
          <w:p>
            <w:pPr>
              <w:pStyle w:val="TableParagraph"/>
              <w:ind w:left="123"/>
              <w:rPr>
                <w:b/>
                <w:sz w:val="20"/>
              </w:rPr>
            </w:pPr>
            <w:r>
              <w:rPr>
                <w:b/>
                <w:sz w:val="20"/>
              </w:rPr>
              <w:t>this</w:t>
            </w:r>
          </w:p>
        </w:tc>
        <w:tc>
          <w:tcPr>
            <w:tcW w:w="650" w:type="dxa"/>
          </w:tcPr>
          <w:p>
            <w:pPr>
              <w:pStyle w:val="TableParagraph"/>
              <w:ind w:left="122"/>
              <w:rPr>
                <w:b/>
                <w:sz w:val="20"/>
              </w:rPr>
            </w:pPr>
            <w:r>
              <w:rPr>
                <w:b/>
                <w:sz w:val="20"/>
              </w:rPr>
              <w:t>help</w:t>
            </w:r>
          </w:p>
        </w:tc>
        <w:tc>
          <w:tcPr>
            <w:tcW w:w="472" w:type="dxa"/>
          </w:tcPr>
          <w:p>
            <w:pPr>
              <w:pStyle w:val="TableParagraph"/>
              <w:ind w:left="131"/>
              <w:rPr>
                <w:b/>
                <w:sz w:val="20"/>
              </w:rPr>
            </w:pPr>
            <w:r>
              <w:rPr>
                <w:b/>
                <w:sz w:val="20"/>
              </w:rPr>
              <w:t>et</w:t>
            </w:r>
          </w:p>
        </w:tc>
        <w:tc>
          <w:tcPr>
            <w:tcW w:w="638" w:type="dxa"/>
          </w:tcPr>
          <w:p>
            <w:pPr>
              <w:pStyle w:val="TableParagraph"/>
              <w:ind w:left="125"/>
              <w:rPr>
                <w:b/>
                <w:sz w:val="20"/>
              </w:rPr>
            </w:pPr>
            <w:r>
              <w:rPr>
                <w:b/>
                <w:sz w:val="20"/>
              </w:rPr>
              <w:t>area</w:t>
            </w:r>
          </w:p>
        </w:tc>
        <w:tc>
          <w:tcPr>
            <w:tcW w:w="575" w:type="dxa"/>
          </w:tcPr>
          <w:p>
            <w:pPr>
              <w:pStyle w:val="TableParagraph"/>
              <w:ind w:left="131"/>
              <w:rPr>
                <w:b/>
                <w:sz w:val="20"/>
              </w:rPr>
            </w:pPr>
            <w:r>
              <w:rPr>
                <w:b/>
                <w:sz w:val="20"/>
              </w:rPr>
              <w:t>?</w:t>
            </w: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rPr>
                <w:rFonts w:ascii="Times New Roman"/>
                <w:sz w:val="20"/>
              </w:rPr>
            </w:pPr>
          </w:p>
        </w:tc>
        <w:tc>
          <w:tcPr>
            <w:tcW w:w="669" w:type="dxa"/>
          </w:tcPr>
          <w:p>
            <w:pPr>
              <w:pStyle w:val="TableParagraph"/>
              <w:ind w:left="123"/>
              <w:rPr>
                <w:b/>
                <w:sz w:val="20"/>
              </w:rPr>
            </w:pPr>
            <w:r>
              <w:rPr>
                <w:b/>
                <w:sz w:val="20"/>
              </w:rPr>
              <w:t>targe</w:t>
            </w:r>
          </w:p>
        </w:tc>
        <w:tc>
          <w:tcPr>
            <w:tcW w:w="650" w:type="dxa"/>
          </w:tcPr>
          <w:p>
            <w:pPr>
              <w:pStyle w:val="TableParagraph"/>
              <w:ind w:left="122"/>
              <w:rPr>
                <w:b/>
                <w:sz w:val="20"/>
              </w:rPr>
            </w:pPr>
            <w:r>
              <w:rPr>
                <w:b/>
                <w:sz w:val="20"/>
              </w:rPr>
              <w:t>you</w:t>
            </w:r>
          </w:p>
        </w:tc>
        <w:tc>
          <w:tcPr>
            <w:tcW w:w="472" w:type="dxa"/>
          </w:tcPr>
          <w:p>
            <w:pPr>
              <w:pStyle w:val="TableParagraph"/>
              <w:ind w:left="131"/>
              <w:rPr>
                <w:b/>
                <w:sz w:val="20"/>
              </w:rPr>
            </w:pPr>
            <w:r>
              <w:rPr>
                <w:b/>
                <w:sz w:val="20"/>
              </w:rPr>
              <w:t>ar</w:t>
            </w:r>
          </w:p>
        </w:tc>
        <w:tc>
          <w:tcPr>
            <w:tcW w:w="638" w:type="dxa"/>
          </w:tcPr>
          <w:p>
            <w:pPr>
              <w:pStyle w:val="TableParagraph"/>
              <w:ind w:left="125"/>
              <w:rPr>
                <w:b/>
                <w:sz w:val="20"/>
              </w:rPr>
            </w:pPr>
            <w:r>
              <w:rPr>
                <w:b/>
                <w:sz w:val="20"/>
              </w:rPr>
              <w:t>?</w:t>
            </w:r>
          </w:p>
        </w:tc>
        <w:tc>
          <w:tcPr>
            <w:tcW w:w="575" w:type="dxa"/>
          </w:tcPr>
          <w:p>
            <w:pPr>
              <w:pStyle w:val="TableParagraph"/>
              <w:rPr>
                <w:rFonts w:ascii="Times New Roman"/>
                <w:sz w:val="20"/>
              </w:rPr>
            </w:pP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rPr>
                <w:rFonts w:ascii="Times New Roman"/>
                <w:sz w:val="20"/>
              </w:rPr>
            </w:pPr>
          </w:p>
        </w:tc>
        <w:tc>
          <w:tcPr>
            <w:tcW w:w="669" w:type="dxa"/>
          </w:tcPr>
          <w:p>
            <w:pPr>
              <w:pStyle w:val="TableParagraph"/>
              <w:ind w:left="123"/>
              <w:rPr>
                <w:b/>
                <w:sz w:val="20"/>
              </w:rPr>
            </w:pPr>
            <w:r>
              <w:rPr>
                <w:b/>
                <w:sz w:val="20"/>
              </w:rPr>
              <w:t>t</w:t>
            </w:r>
          </w:p>
        </w:tc>
        <w:tc>
          <w:tcPr>
            <w:tcW w:w="650" w:type="dxa"/>
          </w:tcPr>
          <w:p>
            <w:pPr>
              <w:pStyle w:val="TableParagraph"/>
              <w:ind w:left="122"/>
              <w:rPr>
                <w:b/>
                <w:sz w:val="20"/>
              </w:rPr>
            </w:pPr>
            <w:r>
              <w:rPr>
                <w:b/>
                <w:sz w:val="20"/>
              </w:rPr>
              <w:t>to</w:t>
            </w:r>
          </w:p>
        </w:tc>
        <w:tc>
          <w:tcPr>
            <w:tcW w:w="472" w:type="dxa"/>
          </w:tcPr>
          <w:p>
            <w:pPr>
              <w:pStyle w:val="TableParagraph"/>
              <w:ind w:left="131"/>
              <w:rPr>
                <w:b/>
                <w:sz w:val="20"/>
              </w:rPr>
            </w:pPr>
            <w:r>
              <w:rPr>
                <w:b/>
                <w:sz w:val="20"/>
              </w:rPr>
              <w:t>ea</w:t>
            </w: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491" w:type="dxa"/>
          </w:tcPr>
          <w:p>
            <w:pPr>
              <w:pStyle w:val="TableParagraph"/>
              <w:rPr>
                <w:rFonts w:ascii="Times New Roman"/>
                <w:sz w:val="20"/>
              </w:rPr>
            </w:pPr>
          </w:p>
        </w:tc>
        <w:tc>
          <w:tcPr>
            <w:tcW w:w="577" w:type="dxa"/>
          </w:tcPr>
          <w:p>
            <w:pPr>
              <w:pStyle w:val="TableParagraph"/>
              <w:rPr>
                <w:rFonts w:ascii="Times New Roman"/>
                <w:sz w:val="20"/>
              </w:rPr>
            </w:pPr>
          </w:p>
        </w:tc>
        <w:tc>
          <w:tcPr>
            <w:tcW w:w="1153" w:type="dxa"/>
          </w:tcPr>
          <w:p>
            <w:pPr>
              <w:pStyle w:val="TableParagraph"/>
              <w:rPr>
                <w:rFonts w:ascii="Times New Roman"/>
                <w:sz w:val="20"/>
              </w:rPr>
            </w:pPr>
          </w:p>
        </w:tc>
        <w:tc>
          <w:tcPr>
            <w:tcW w:w="849" w:type="dxa"/>
          </w:tcPr>
          <w:p>
            <w:pPr>
              <w:pStyle w:val="TableParagraph"/>
              <w:rPr>
                <w:rFonts w:ascii="Times New Roman"/>
                <w:sz w:val="20"/>
              </w:rPr>
            </w:pPr>
          </w:p>
        </w:tc>
        <w:tc>
          <w:tcPr>
            <w:tcW w:w="707" w:type="dxa"/>
          </w:tcPr>
          <w:p>
            <w:pPr>
              <w:pStyle w:val="TableParagraph"/>
              <w:rPr>
                <w:rFonts w:ascii="Times New Roman"/>
                <w:sz w:val="20"/>
              </w:rPr>
            </w:pPr>
          </w:p>
        </w:tc>
        <w:tc>
          <w:tcPr>
            <w:tcW w:w="626" w:type="dxa"/>
          </w:tcPr>
          <w:p>
            <w:pPr>
              <w:pStyle w:val="TableParagraph"/>
              <w:rPr>
                <w:rFonts w:ascii="Times New Roman"/>
                <w:sz w:val="20"/>
              </w:rPr>
            </w:pPr>
          </w:p>
        </w:tc>
        <w:tc>
          <w:tcPr>
            <w:tcW w:w="1010" w:type="dxa"/>
          </w:tcPr>
          <w:p>
            <w:pPr>
              <w:pStyle w:val="TableParagraph"/>
              <w:rPr>
                <w:rFonts w:ascii="Times New Roman"/>
                <w:sz w:val="20"/>
              </w:rPr>
            </w:pPr>
          </w:p>
        </w:tc>
        <w:tc>
          <w:tcPr>
            <w:tcW w:w="678" w:type="dxa"/>
          </w:tcPr>
          <w:p>
            <w:pPr>
              <w:pStyle w:val="TableParagraph"/>
              <w:rPr>
                <w:rFonts w:ascii="Times New Roman"/>
                <w:sz w:val="20"/>
              </w:rPr>
            </w:pPr>
          </w:p>
        </w:tc>
        <w:tc>
          <w:tcPr>
            <w:tcW w:w="669" w:type="dxa"/>
          </w:tcPr>
          <w:p>
            <w:pPr>
              <w:pStyle w:val="TableParagraph"/>
              <w:ind w:left="123"/>
              <w:rPr>
                <w:b/>
                <w:sz w:val="20"/>
              </w:rPr>
            </w:pPr>
            <w:r>
              <w:rPr>
                <w:b/>
                <w:sz w:val="20"/>
              </w:rPr>
              <w:t>area.</w:t>
            </w:r>
          </w:p>
        </w:tc>
        <w:tc>
          <w:tcPr>
            <w:tcW w:w="650" w:type="dxa"/>
          </w:tcPr>
          <w:p>
            <w:pPr>
              <w:pStyle w:val="TableParagraph"/>
              <w:ind w:left="122"/>
              <w:rPr>
                <w:b/>
                <w:sz w:val="20"/>
              </w:rPr>
            </w:pPr>
            <w:r>
              <w:rPr>
                <w:b/>
                <w:sz w:val="20"/>
              </w:rPr>
              <w:t>iden</w:t>
            </w:r>
          </w:p>
        </w:tc>
        <w:tc>
          <w:tcPr>
            <w:tcW w:w="472" w:type="dxa"/>
          </w:tcPr>
          <w:p>
            <w:pPr>
              <w:pStyle w:val="TableParagraph"/>
              <w:ind w:left="131"/>
              <w:rPr>
                <w:b/>
                <w:sz w:val="20"/>
              </w:rPr>
            </w:pPr>
            <w:r>
              <w:rPr>
                <w:b/>
                <w:sz w:val="20"/>
              </w:rPr>
              <w:t>.</w:t>
            </w: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val="restart"/>
          </w:tcPr>
          <w:p>
            <w:pPr>
              <w:pStyle w:val="TableParagraph"/>
              <w:rPr>
                <w:rFonts w:ascii="Times New Roman"/>
                <w:sz w:val="20"/>
              </w:rPr>
            </w:pPr>
          </w:p>
        </w:tc>
        <w:tc>
          <w:tcPr>
            <w:tcW w:w="650" w:type="dxa"/>
          </w:tcPr>
          <w:p>
            <w:pPr>
              <w:pStyle w:val="TableParagraph"/>
              <w:ind w:left="122"/>
              <w:rPr>
                <w:b/>
                <w:sz w:val="20"/>
              </w:rPr>
            </w:pPr>
            <w:r>
              <w:rPr>
                <w:b/>
                <w:sz w:val="20"/>
              </w:rPr>
              <w:t>tify</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this</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neig</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hbor</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hoo</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d as</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a</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targ</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et</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80" w:hRule="atLeast"/>
        </w:trPr>
        <w:tc>
          <w:tcPr>
            <w:tcW w:w="6760" w:type="dxa"/>
            <w:gridSpan w:val="9"/>
            <w:vMerge/>
            <w:tcBorders>
              <w:top w:val="nil"/>
            </w:tcBorders>
          </w:tcPr>
          <w:p>
            <w:pPr>
              <w:rPr>
                <w:sz w:val="2"/>
                <w:szCs w:val="2"/>
              </w:rPr>
            </w:pPr>
          </w:p>
        </w:tc>
        <w:tc>
          <w:tcPr>
            <w:tcW w:w="650" w:type="dxa"/>
          </w:tcPr>
          <w:p>
            <w:pPr>
              <w:pStyle w:val="TableParagraph"/>
              <w:ind w:left="122"/>
              <w:rPr>
                <w:b/>
                <w:sz w:val="20"/>
              </w:rPr>
            </w:pPr>
            <w:r>
              <w:rPr>
                <w:b/>
                <w:sz w:val="20"/>
              </w:rPr>
              <w:t>area</w:t>
            </w:r>
          </w:p>
        </w:tc>
        <w:tc>
          <w:tcPr>
            <w:tcW w:w="472" w:type="dxa"/>
          </w:tcPr>
          <w:p>
            <w:pPr>
              <w:pStyle w:val="TableParagraph"/>
              <w:rPr>
                <w:rFonts w:ascii="Times New Roman"/>
                <w:sz w:val="20"/>
              </w:rPr>
            </w:pPr>
          </w:p>
        </w:tc>
        <w:tc>
          <w:tcPr>
            <w:tcW w:w="638" w:type="dxa"/>
          </w:tcPr>
          <w:p>
            <w:pPr>
              <w:pStyle w:val="TableParagraph"/>
              <w:rPr>
                <w:rFonts w:ascii="Times New Roman"/>
                <w:sz w:val="20"/>
              </w:rPr>
            </w:pPr>
          </w:p>
        </w:tc>
        <w:tc>
          <w:tcPr>
            <w:tcW w:w="575" w:type="dxa"/>
          </w:tcPr>
          <w:p>
            <w:pPr>
              <w:pStyle w:val="TableParagraph"/>
              <w:rPr>
                <w:rFonts w:ascii="Times New Roman"/>
                <w:sz w:val="20"/>
              </w:rPr>
            </w:pPr>
          </w:p>
        </w:tc>
      </w:tr>
      <w:tr>
        <w:trPr>
          <w:trHeight w:val="240" w:hRule="atLeast"/>
        </w:trPr>
        <w:tc>
          <w:tcPr>
            <w:tcW w:w="6760" w:type="dxa"/>
            <w:gridSpan w:val="9"/>
            <w:vMerge/>
            <w:tcBorders>
              <w:top w:val="nil"/>
            </w:tcBorders>
          </w:tcPr>
          <w:p>
            <w:pPr>
              <w:rPr>
                <w:sz w:val="2"/>
                <w:szCs w:val="2"/>
              </w:rPr>
            </w:pPr>
          </w:p>
        </w:tc>
        <w:tc>
          <w:tcPr>
            <w:tcW w:w="650" w:type="dxa"/>
          </w:tcPr>
          <w:p>
            <w:pPr>
              <w:pStyle w:val="TableParagraph"/>
              <w:spacing w:line="220" w:lineRule="exact"/>
              <w:ind w:left="122"/>
              <w:rPr>
                <w:b/>
                <w:sz w:val="20"/>
              </w:rPr>
            </w:pPr>
            <w:r>
              <w:rPr>
                <w:b/>
                <w:sz w:val="20"/>
              </w:rPr>
              <w:t>?</w:t>
            </w:r>
          </w:p>
        </w:tc>
        <w:tc>
          <w:tcPr>
            <w:tcW w:w="472" w:type="dxa"/>
          </w:tcPr>
          <w:p>
            <w:pPr>
              <w:pStyle w:val="TableParagraph"/>
              <w:rPr>
                <w:rFonts w:ascii="Times New Roman"/>
                <w:sz w:val="16"/>
              </w:rPr>
            </w:pPr>
          </w:p>
        </w:tc>
        <w:tc>
          <w:tcPr>
            <w:tcW w:w="638" w:type="dxa"/>
          </w:tcPr>
          <w:p>
            <w:pPr>
              <w:pStyle w:val="TableParagraph"/>
              <w:rPr>
                <w:rFonts w:ascii="Times New Roman"/>
                <w:sz w:val="16"/>
              </w:rPr>
            </w:pPr>
          </w:p>
        </w:tc>
        <w:tc>
          <w:tcPr>
            <w:tcW w:w="575" w:type="dxa"/>
          </w:tcPr>
          <w:p>
            <w:pPr>
              <w:pStyle w:val="TableParagraph"/>
              <w:rPr>
                <w:rFonts w:ascii="Times New Roman"/>
                <w:sz w:val="16"/>
              </w:rPr>
            </w:pPr>
          </w:p>
        </w:tc>
      </w:tr>
    </w:tbl>
    <w:p>
      <w:pPr>
        <w:pStyle w:val="BodyText"/>
        <w:rPr>
          <w:b/>
          <w:sz w:val="20"/>
        </w:rPr>
      </w:pPr>
    </w:p>
    <w:p>
      <w:pPr>
        <w:pStyle w:val="BodyText"/>
        <w:rPr>
          <w:b/>
          <w:sz w:val="20"/>
        </w:rPr>
      </w:pPr>
    </w:p>
    <w:p>
      <w:pPr>
        <w:pStyle w:val="BodyText"/>
        <w:rPr>
          <w:b/>
          <w:sz w:val="16"/>
        </w:rPr>
      </w:pPr>
    </w:p>
    <w:p>
      <w:pPr>
        <w:spacing w:before="94"/>
        <w:ind w:left="220" w:right="0" w:firstLine="0"/>
        <w:jc w:val="left"/>
        <w:rPr>
          <w:rFonts w:ascii="Arial"/>
          <w:b/>
          <w:sz w:val="20"/>
        </w:rPr>
      </w:pPr>
      <w:r>
        <w:rPr>
          <w:rFonts w:ascii="Arial"/>
          <w:b/>
          <w:sz w:val="20"/>
        </w:rPr>
        <w:t>Table 52 - Geographic Priority Areas</w:t>
      </w:r>
    </w:p>
    <w:p>
      <w:pPr>
        <w:pStyle w:val="BodyText"/>
        <w:spacing w:before="8"/>
        <w:rPr>
          <w:rFonts w:ascii="Arial"/>
          <w:b/>
          <w:sz w:val="23"/>
        </w:rPr>
      </w:pPr>
    </w:p>
    <w:p>
      <w:pPr>
        <w:pStyle w:val="Heading4"/>
      </w:pPr>
      <w:r>
        <w:rPr/>
        <w:t>General Allocation Priorities</w:t>
      </w:r>
    </w:p>
    <w:p>
      <w:pPr>
        <w:pStyle w:val="BodyText"/>
        <w:rPr>
          <w:b/>
          <w:sz w:val="20"/>
        </w:rPr>
      </w:pPr>
    </w:p>
    <w:p>
      <w:pPr>
        <w:pStyle w:val="BodyText"/>
        <w:spacing w:line="276" w:lineRule="auto"/>
        <w:ind w:left="220" w:right="1497"/>
      </w:pPr>
      <w:r>
        <w:rPr/>
        <w:t>Describe the basis for allocating investments geographically within the jurisdiction (or within the EMSA for HOPWA)</w:t>
      </w:r>
    </w:p>
    <w:p>
      <w:pPr>
        <w:pStyle w:val="BodyText"/>
        <w:spacing w:line="276" w:lineRule="auto" w:before="196"/>
        <w:ind w:left="220" w:right="1336"/>
        <w:rPr>
          <w:rFonts w:ascii="Arial" w:hAnsi="Arial"/>
        </w:rPr>
      </w:pPr>
      <w:r>
        <w:rPr>
          <w:rFonts w:ascii="Arial" w:hAnsi="Arial"/>
        </w:rPr>
        <w:t>Not all housing and community development needs identified in this plan can be addressed over the next five years, primarily due to the limited resources available. The selection of non- housing community development priorities within income-eligible areas reflects the City’s desire to create appreciable and lasting living environment improvements. Housing priorities reflect the need to affirmatively further fair housing and to broadening the supply of affordable housing in high opportunity areas.</w:t>
      </w:r>
    </w:p>
    <w:p>
      <w:pPr>
        <w:spacing w:after="0" w:line="276" w:lineRule="auto"/>
        <w:rPr>
          <w:rFonts w:ascii="Arial" w:hAnsi="Arial"/>
        </w:rPr>
        <w:sectPr>
          <w:headerReference w:type="default" r:id="rId101"/>
          <w:footerReference w:type="default" r:id="rId102"/>
          <w:pgSz w:w="12240" w:h="15840"/>
          <w:pgMar w:header="0" w:footer="1340" w:top="1480" w:bottom="1540" w:left="1220" w:right="100"/>
          <w:pgNumType w:start="94"/>
        </w:sectPr>
      </w:pPr>
    </w:p>
    <w:p>
      <w:pPr>
        <w:pStyle w:val="BodyText"/>
        <w:spacing w:line="276" w:lineRule="auto" w:before="80"/>
        <w:ind w:left="220" w:right="1398"/>
        <w:rPr>
          <w:rFonts w:ascii="Arial"/>
        </w:rPr>
      </w:pPr>
      <w:r>
        <w:rPr>
          <w:rFonts w:ascii="Arial"/>
        </w:rPr>
        <w:t>The system for establishing the priority for the selection of these projects is predicated upon the following criteria:</w:t>
      </w:r>
    </w:p>
    <w:p>
      <w:pPr>
        <w:pStyle w:val="Heading5"/>
        <w:numPr>
          <w:ilvl w:val="2"/>
          <w:numId w:val="10"/>
        </w:numPr>
        <w:tabs>
          <w:tab w:pos="939" w:val="left" w:leader="none"/>
          <w:tab w:pos="940" w:val="left" w:leader="none"/>
        </w:tabs>
        <w:spacing w:line="397" w:lineRule="exact" w:before="168" w:after="0"/>
        <w:ind w:left="940" w:right="0" w:hanging="360"/>
        <w:jc w:val="left"/>
        <w:rPr>
          <w:rFonts w:ascii="Arial Unicode MS" w:hAnsi="Arial Unicode MS"/>
        </w:rPr>
      </w:pPr>
      <w:r>
        <w:rPr>
          <w:rFonts w:ascii="Arial" w:hAnsi="Arial"/>
        </w:rPr>
        <w:t>Meeting the statutory requirements of the CDBG and HOME Programs;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Meeting the needs of low- and moderate-income residents;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Focusing on low- and moderate-income areas or neighborhoods;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Coordination and leveraging of resources;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Response to expressed needs;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Sustainability and/or long-term impact; and</w:t>
      </w:r>
    </w:p>
    <w:p>
      <w:pPr>
        <w:pStyle w:val="ListParagraph"/>
        <w:numPr>
          <w:ilvl w:val="2"/>
          <w:numId w:val="10"/>
        </w:numPr>
        <w:tabs>
          <w:tab w:pos="939" w:val="left" w:leader="none"/>
          <w:tab w:pos="940" w:val="left" w:leader="none"/>
        </w:tabs>
        <w:spacing w:line="397" w:lineRule="exact" w:before="0" w:after="0"/>
        <w:ind w:left="940" w:right="0" w:hanging="360"/>
        <w:jc w:val="left"/>
        <w:rPr>
          <w:rFonts w:ascii="Arial Unicode MS" w:hAnsi="Arial Unicode MS"/>
          <w:sz w:val="24"/>
        </w:rPr>
      </w:pPr>
      <w:r>
        <w:rPr>
          <w:rFonts w:ascii="Arial" w:hAnsi="Arial"/>
          <w:sz w:val="24"/>
        </w:rPr>
        <w:t>The ability to demonstrate measurable progress and success.</w:t>
      </w:r>
    </w:p>
    <w:p>
      <w:pPr>
        <w:spacing w:after="0" w:line="397" w:lineRule="exact"/>
        <w:jc w:val="left"/>
        <w:rPr>
          <w:rFonts w:ascii="Arial Unicode MS" w:hAnsi="Arial Unicode MS"/>
          <w:sz w:val="24"/>
        </w:rPr>
        <w:sectPr>
          <w:headerReference w:type="default" r:id="rId103"/>
          <w:footerReference w:type="default" r:id="rId104"/>
          <w:pgSz w:w="12240" w:h="15840"/>
          <w:pgMar w:header="0" w:footer="1340" w:top="1360" w:bottom="1540" w:left="1220" w:right="100"/>
          <w:pgNumType w:start="95"/>
        </w:sectPr>
      </w:pPr>
    </w:p>
    <w:p>
      <w:pPr>
        <w:pStyle w:val="Heading1"/>
        <w:spacing w:before="106"/>
      </w:pPr>
      <w:bookmarkStart w:name="_TOC_250018" w:id="4"/>
      <w:bookmarkEnd w:id="4"/>
      <w:r>
        <w:rPr>
          <w:color w:val="0E4661"/>
        </w:rPr>
        <w:t>SP-25 Priority Needs - 91.215(a)(2)</w:t>
      </w:r>
    </w:p>
    <w:p>
      <w:pPr>
        <w:spacing w:before="137"/>
        <w:ind w:left="220" w:right="0" w:firstLine="0"/>
        <w:jc w:val="left"/>
        <w:rPr>
          <w:b/>
          <w:sz w:val="24"/>
        </w:rPr>
      </w:pPr>
      <w:r>
        <w:rPr>
          <w:b/>
          <w:sz w:val="24"/>
        </w:rPr>
        <w:t>Priority Needs</w:t>
      </w:r>
    </w:p>
    <w:p>
      <w:pPr>
        <w:pStyle w:val="BodyText"/>
        <w:spacing w:before="7"/>
        <w:rPr>
          <w:b/>
          <w:sz w:val="19"/>
        </w:rPr>
      </w:pPr>
    </w:p>
    <w:p>
      <w:pPr>
        <w:pStyle w:val="BodyText"/>
        <w:spacing w:line="276" w:lineRule="auto"/>
        <w:ind w:left="220" w:right="1470"/>
        <w:rPr>
          <w:rFonts w:ascii="Arial"/>
        </w:rPr>
      </w:pPr>
      <w:r>
        <w:rPr>
          <w:rFonts w:ascii="Arial"/>
        </w:rPr>
        <w:t>During the development of the Consolidated plan, a number of needs were identified as having the highest priority:</w:t>
      </w:r>
    </w:p>
    <w:p>
      <w:pPr>
        <w:pStyle w:val="Heading5"/>
        <w:numPr>
          <w:ilvl w:val="2"/>
          <w:numId w:val="10"/>
        </w:numPr>
        <w:tabs>
          <w:tab w:pos="939" w:val="left" w:leader="none"/>
          <w:tab w:pos="940" w:val="left" w:leader="none"/>
        </w:tabs>
        <w:spacing w:line="397" w:lineRule="exact" w:before="169" w:after="0"/>
        <w:ind w:left="940" w:right="0" w:hanging="360"/>
        <w:jc w:val="left"/>
        <w:rPr>
          <w:rFonts w:ascii="Arial Unicode MS" w:hAnsi="Arial Unicode MS"/>
        </w:rPr>
      </w:pPr>
      <w:r>
        <w:rPr>
          <w:rFonts w:ascii="Arial" w:hAnsi="Arial"/>
        </w:rPr>
        <w:t>Improve access to affordable housing in the rental and sales markets</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Public facilities and infrastructure</w:t>
      </w:r>
    </w:p>
    <w:p>
      <w:pPr>
        <w:pStyle w:val="ListParagraph"/>
        <w:numPr>
          <w:ilvl w:val="2"/>
          <w:numId w:val="10"/>
        </w:numPr>
        <w:tabs>
          <w:tab w:pos="939" w:val="left" w:leader="none"/>
          <w:tab w:pos="940" w:val="left" w:leader="none"/>
        </w:tabs>
        <w:spacing w:line="376" w:lineRule="exact" w:before="0" w:after="0"/>
        <w:ind w:left="940" w:right="0" w:hanging="360"/>
        <w:jc w:val="left"/>
        <w:rPr>
          <w:rFonts w:ascii="Arial Unicode MS" w:hAnsi="Arial Unicode MS"/>
          <w:sz w:val="24"/>
        </w:rPr>
      </w:pPr>
      <w:r>
        <w:rPr>
          <w:rFonts w:ascii="Arial" w:hAnsi="Arial"/>
          <w:sz w:val="24"/>
        </w:rPr>
        <w:t>Public services</w:t>
      </w:r>
    </w:p>
    <w:p>
      <w:pPr>
        <w:pStyle w:val="ListParagraph"/>
        <w:numPr>
          <w:ilvl w:val="2"/>
          <w:numId w:val="10"/>
        </w:numPr>
        <w:tabs>
          <w:tab w:pos="939" w:val="left" w:leader="none"/>
          <w:tab w:pos="940" w:val="left" w:leader="none"/>
        </w:tabs>
        <w:spacing w:line="232" w:lineRule="auto" w:before="0" w:after="0"/>
        <w:ind w:left="940" w:right="2560" w:hanging="360"/>
        <w:jc w:val="left"/>
        <w:rPr>
          <w:rFonts w:ascii="Arial Unicode MS" w:hAnsi="Arial Unicode MS"/>
          <w:sz w:val="24"/>
        </w:rPr>
      </w:pPr>
      <w:r>
        <w:rPr>
          <w:rFonts w:ascii="Arial" w:hAnsi="Arial"/>
          <w:sz w:val="24"/>
        </w:rPr>
        <w:t>Housing and services for persons experiencing homelessness or </w:t>
      </w:r>
      <w:r>
        <w:rPr>
          <w:rFonts w:ascii="Arial" w:hAnsi="Arial"/>
          <w:spacing w:val="-5"/>
          <w:sz w:val="24"/>
        </w:rPr>
        <w:t>near </w:t>
      </w:r>
      <w:r>
        <w:rPr>
          <w:rFonts w:ascii="Arial" w:hAnsi="Arial"/>
          <w:sz w:val="24"/>
        </w:rPr>
        <w:t>homelessness</w:t>
      </w:r>
    </w:p>
    <w:p>
      <w:pPr>
        <w:pStyle w:val="BodyText"/>
        <w:spacing w:after="1"/>
        <w:rPr>
          <w:rFonts w:ascii="Arial"/>
          <w:sz w:val="20"/>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4"/>
        <w:gridCol w:w="7726"/>
      </w:tblGrid>
      <w:tr>
        <w:trPr>
          <w:trHeight w:val="776" w:hRule="atLeast"/>
        </w:trPr>
        <w:tc>
          <w:tcPr>
            <w:tcW w:w="1624" w:type="dxa"/>
          </w:tcPr>
          <w:p>
            <w:pPr>
              <w:pStyle w:val="TableParagraph"/>
              <w:spacing w:line="276" w:lineRule="auto"/>
              <w:ind w:left="112" w:right="205"/>
              <w:rPr>
                <w:rFonts w:ascii="Arial"/>
                <w:sz w:val="22"/>
              </w:rPr>
            </w:pPr>
            <w:r>
              <w:rPr>
                <w:rFonts w:ascii="Arial"/>
                <w:sz w:val="22"/>
              </w:rPr>
              <w:t>Priority Need Name</w:t>
            </w:r>
          </w:p>
        </w:tc>
        <w:tc>
          <w:tcPr>
            <w:tcW w:w="7726" w:type="dxa"/>
          </w:tcPr>
          <w:p>
            <w:pPr>
              <w:pStyle w:val="TableParagraph"/>
              <w:spacing w:before="143"/>
              <w:ind w:left="112"/>
              <w:rPr>
                <w:rFonts w:ascii="Arial"/>
                <w:sz w:val="22"/>
              </w:rPr>
            </w:pPr>
            <w:r>
              <w:rPr>
                <w:rFonts w:ascii="Arial"/>
                <w:sz w:val="22"/>
              </w:rPr>
              <w:t>Improve Access to/Quality of Affordable Housing</w:t>
            </w:r>
          </w:p>
        </w:tc>
      </w:tr>
      <w:tr>
        <w:trPr>
          <w:trHeight w:val="485" w:hRule="atLeast"/>
        </w:trPr>
        <w:tc>
          <w:tcPr>
            <w:tcW w:w="1624" w:type="dxa"/>
          </w:tcPr>
          <w:p>
            <w:pPr>
              <w:pStyle w:val="TableParagraph"/>
              <w:spacing w:line="250" w:lineRule="exact"/>
              <w:ind w:left="112"/>
              <w:rPr>
                <w:rFonts w:ascii="Arial"/>
                <w:sz w:val="22"/>
              </w:rPr>
            </w:pPr>
            <w:r>
              <w:rPr>
                <w:rFonts w:ascii="Arial"/>
                <w:sz w:val="22"/>
              </w:rPr>
              <w:t>Priority Level</w:t>
            </w:r>
          </w:p>
        </w:tc>
        <w:tc>
          <w:tcPr>
            <w:tcW w:w="7726" w:type="dxa"/>
          </w:tcPr>
          <w:p>
            <w:pPr>
              <w:pStyle w:val="TableParagraph"/>
              <w:spacing w:line="250" w:lineRule="exact"/>
              <w:ind w:left="112"/>
              <w:rPr>
                <w:rFonts w:ascii="Arial"/>
                <w:sz w:val="22"/>
              </w:rPr>
            </w:pPr>
            <w:r>
              <w:rPr>
                <w:rFonts w:ascii="Arial"/>
                <w:sz w:val="22"/>
              </w:rPr>
              <w:t>High</w:t>
            </w:r>
          </w:p>
        </w:tc>
      </w:tr>
      <w:tr>
        <w:trPr>
          <w:trHeight w:val="5363" w:hRule="atLeast"/>
        </w:trPr>
        <w:tc>
          <w:tcPr>
            <w:tcW w:w="1624" w:type="dxa"/>
          </w:tcPr>
          <w:p>
            <w:pPr>
              <w:pStyle w:val="TableParagraph"/>
              <w:spacing w:line="250" w:lineRule="exact"/>
              <w:ind w:left="112"/>
              <w:rPr>
                <w:rFonts w:ascii="Arial"/>
                <w:sz w:val="22"/>
              </w:rPr>
            </w:pPr>
            <w:r>
              <w:rPr>
                <w:rFonts w:ascii="Arial"/>
                <w:sz w:val="22"/>
              </w:rPr>
              <w:t>Population</w:t>
            </w:r>
          </w:p>
        </w:tc>
        <w:tc>
          <w:tcPr>
            <w:tcW w:w="7726" w:type="dxa"/>
          </w:tcPr>
          <w:p>
            <w:pPr>
              <w:pStyle w:val="TableParagraph"/>
              <w:numPr>
                <w:ilvl w:val="0"/>
                <w:numId w:val="11"/>
              </w:numPr>
              <w:tabs>
                <w:tab w:pos="832" w:val="left" w:leader="none"/>
                <w:tab w:pos="833" w:val="left" w:leader="none"/>
              </w:tabs>
              <w:spacing w:line="331" w:lineRule="exact" w:before="0" w:after="0"/>
              <w:ind w:left="832" w:right="0" w:hanging="361"/>
              <w:jc w:val="left"/>
              <w:rPr>
                <w:rFonts w:ascii="Arial" w:hAnsi="Arial"/>
                <w:sz w:val="22"/>
              </w:rPr>
            </w:pPr>
            <w:r>
              <w:rPr>
                <w:rFonts w:ascii="Arial" w:hAnsi="Arial"/>
                <w:sz w:val="22"/>
              </w:rPr>
              <w:t>Extremely Low Income</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Low Income</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Moderate Income</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Large Families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Families with Children</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Elderly Families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Public Housing Residents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Elderly</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Frail Elderly</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Mental Disabilities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Physical Disabilities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Developmental Disabilities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Alcohol or Other Addictions</w:t>
            </w:r>
          </w:p>
          <w:p>
            <w:pPr>
              <w:pStyle w:val="TableParagraph"/>
              <w:numPr>
                <w:ilvl w:val="0"/>
                <w:numId w:val="11"/>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HIV/AIDS and their Families</w:t>
            </w:r>
          </w:p>
          <w:p>
            <w:pPr>
              <w:pStyle w:val="TableParagraph"/>
              <w:numPr>
                <w:ilvl w:val="0"/>
                <w:numId w:val="11"/>
              </w:numPr>
              <w:tabs>
                <w:tab w:pos="832" w:val="left" w:leader="none"/>
                <w:tab w:pos="833" w:val="left" w:leader="none"/>
              </w:tabs>
              <w:spacing w:line="364" w:lineRule="exact" w:before="0" w:after="0"/>
              <w:ind w:left="832" w:right="0" w:hanging="361"/>
              <w:jc w:val="left"/>
              <w:rPr>
                <w:rFonts w:ascii="Arial" w:hAnsi="Arial"/>
                <w:sz w:val="22"/>
              </w:rPr>
            </w:pPr>
            <w:r>
              <w:rPr>
                <w:rFonts w:ascii="Arial" w:hAnsi="Arial"/>
                <w:sz w:val="22"/>
              </w:rPr>
              <w:t>Victims of Domestic Violence</w:t>
            </w:r>
          </w:p>
        </w:tc>
      </w:tr>
      <w:tr>
        <w:trPr>
          <w:trHeight w:val="1067" w:hRule="atLeast"/>
        </w:trPr>
        <w:tc>
          <w:tcPr>
            <w:tcW w:w="1624" w:type="dxa"/>
          </w:tcPr>
          <w:p>
            <w:pPr>
              <w:pStyle w:val="TableParagraph"/>
              <w:spacing w:line="276" w:lineRule="auto"/>
              <w:ind w:left="112" w:right="339"/>
              <w:rPr>
                <w:rFonts w:ascii="Arial"/>
                <w:sz w:val="22"/>
              </w:rPr>
            </w:pPr>
            <w:r>
              <w:rPr>
                <w:rFonts w:ascii="Arial"/>
                <w:sz w:val="22"/>
              </w:rPr>
              <w:t>Geographic Areas Affected</w:t>
            </w:r>
          </w:p>
        </w:tc>
        <w:tc>
          <w:tcPr>
            <w:tcW w:w="7726" w:type="dxa"/>
          </w:tcPr>
          <w:p>
            <w:pPr>
              <w:pStyle w:val="TableParagraph"/>
              <w:spacing w:before="43"/>
              <w:ind w:left="112"/>
              <w:rPr>
                <w:rFonts w:ascii="Arial"/>
                <w:sz w:val="22"/>
              </w:rPr>
            </w:pPr>
            <w:r>
              <w:rPr>
                <w:rFonts w:ascii="Arial"/>
                <w:sz w:val="22"/>
              </w:rPr>
              <w:t>City-wide</w:t>
            </w:r>
          </w:p>
          <w:p>
            <w:pPr>
              <w:pStyle w:val="TableParagraph"/>
              <w:spacing w:before="7"/>
              <w:rPr>
                <w:rFonts w:ascii="Arial"/>
                <w:sz w:val="20"/>
              </w:rPr>
            </w:pPr>
          </w:p>
          <w:p>
            <w:pPr>
              <w:pStyle w:val="TableParagraph"/>
              <w:spacing w:before="1"/>
              <w:ind w:left="112"/>
              <w:rPr>
                <w:rFonts w:ascii="Arial"/>
                <w:sz w:val="22"/>
              </w:rPr>
            </w:pPr>
            <w:r>
              <w:rPr>
                <w:rFonts w:ascii="Arial"/>
                <w:sz w:val="22"/>
              </w:rPr>
              <w:t>CDBG-eligible areas</w:t>
            </w:r>
          </w:p>
        </w:tc>
      </w:tr>
    </w:tbl>
    <w:p>
      <w:pPr>
        <w:spacing w:after="0"/>
        <w:rPr>
          <w:rFonts w:ascii="Arial"/>
          <w:sz w:val="22"/>
        </w:rPr>
        <w:sectPr>
          <w:headerReference w:type="default" r:id="rId105"/>
          <w:footerReference w:type="default" r:id="rId106"/>
          <w:pgSz w:w="12240" w:h="15840"/>
          <w:pgMar w:header="0" w:footer="1340" w:top="1500" w:bottom="1540" w:left="1220" w:right="100"/>
          <w:pgNumType w:start="96"/>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4"/>
        <w:gridCol w:w="7726"/>
      </w:tblGrid>
      <w:tr>
        <w:trPr>
          <w:trHeight w:val="776" w:hRule="atLeast"/>
        </w:trPr>
        <w:tc>
          <w:tcPr>
            <w:tcW w:w="1624" w:type="dxa"/>
          </w:tcPr>
          <w:p>
            <w:pPr>
              <w:pStyle w:val="TableParagraph"/>
              <w:spacing w:line="276" w:lineRule="auto"/>
              <w:ind w:left="112" w:right="400"/>
              <w:rPr>
                <w:rFonts w:ascii="Arial"/>
                <w:sz w:val="22"/>
              </w:rPr>
            </w:pPr>
            <w:r>
              <w:rPr>
                <w:rFonts w:ascii="Arial"/>
                <w:sz w:val="22"/>
              </w:rPr>
              <w:t>Associated Goals</w:t>
            </w:r>
          </w:p>
        </w:tc>
        <w:tc>
          <w:tcPr>
            <w:tcW w:w="7726" w:type="dxa"/>
          </w:tcPr>
          <w:p>
            <w:pPr>
              <w:pStyle w:val="TableParagraph"/>
              <w:spacing w:line="245" w:lineRule="exact"/>
              <w:ind w:left="112"/>
              <w:rPr>
                <w:rFonts w:ascii="Arial"/>
                <w:sz w:val="22"/>
              </w:rPr>
            </w:pPr>
            <w:r>
              <w:rPr>
                <w:rFonts w:ascii="Arial"/>
                <w:sz w:val="22"/>
              </w:rPr>
              <w:t>Improve Access to and Quality of Affordable Housing</w:t>
            </w:r>
          </w:p>
        </w:tc>
      </w:tr>
      <w:tr>
        <w:trPr>
          <w:trHeight w:val="1358" w:hRule="atLeast"/>
        </w:trPr>
        <w:tc>
          <w:tcPr>
            <w:tcW w:w="1624" w:type="dxa"/>
          </w:tcPr>
          <w:p>
            <w:pPr>
              <w:pStyle w:val="TableParagraph"/>
              <w:spacing w:line="245" w:lineRule="exact"/>
              <w:ind w:left="112"/>
              <w:rPr>
                <w:rFonts w:ascii="Arial"/>
                <w:sz w:val="22"/>
              </w:rPr>
            </w:pPr>
            <w:r>
              <w:rPr>
                <w:rFonts w:ascii="Arial"/>
                <w:sz w:val="22"/>
              </w:rPr>
              <w:t>Description</w:t>
            </w:r>
          </w:p>
        </w:tc>
        <w:tc>
          <w:tcPr>
            <w:tcW w:w="7726" w:type="dxa"/>
          </w:tcPr>
          <w:p>
            <w:pPr>
              <w:pStyle w:val="TableParagraph"/>
              <w:spacing w:line="276" w:lineRule="auto"/>
              <w:ind w:left="112" w:right="217"/>
              <w:rPr>
                <w:rFonts w:ascii="Arial"/>
                <w:sz w:val="22"/>
              </w:rPr>
            </w:pPr>
            <w:r>
              <w:rPr>
                <w:rFonts w:ascii="Arial"/>
                <w:sz w:val="22"/>
              </w:rPr>
              <w:t>Provide assistance to homeowners and renters to increase housing supply and housing affordability programs. This includes development of new units for rent and ownership, as well as preservation of existing units. Rental assistance for families is also a priority.</w:t>
            </w:r>
          </w:p>
        </w:tc>
      </w:tr>
      <w:tr>
        <w:trPr>
          <w:trHeight w:val="1358" w:hRule="atLeast"/>
        </w:trPr>
        <w:tc>
          <w:tcPr>
            <w:tcW w:w="1624" w:type="dxa"/>
          </w:tcPr>
          <w:p>
            <w:pPr>
              <w:pStyle w:val="TableParagraph"/>
              <w:spacing w:line="276" w:lineRule="auto"/>
              <w:ind w:left="112" w:right="638"/>
              <w:jc w:val="both"/>
              <w:rPr>
                <w:rFonts w:ascii="Arial"/>
                <w:sz w:val="22"/>
              </w:rPr>
            </w:pPr>
            <w:r>
              <w:rPr>
                <w:rFonts w:ascii="Arial"/>
                <w:sz w:val="22"/>
              </w:rPr>
              <w:t>Basis for Relative Priority</w:t>
            </w:r>
          </w:p>
        </w:tc>
        <w:tc>
          <w:tcPr>
            <w:tcW w:w="7726" w:type="dxa"/>
          </w:tcPr>
          <w:p>
            <w:pPr>
              <w:pStyle w:val="TableParagraph"/>
              <w:spacing w:line="276" w:lineRule="auto"/>
              <w:ind w:left="112" w:right="217"/>
              <w:rPr>
                <w:rFonts w:ascii="Arial" w:hAnsi="Arial"/>
                <w:sz w:val="22"/>
              </w:rPr>
            </w:pPr>
            <w:r>
              <w:rPr>
                <w:rFonts w:ascii="Arial" w:hAnsi="Arial"/>
                <w:sz w:val="22"/>
              </w:rPr>
              <w:t>High housing costs reduce economic opportunities and access to prosperity as prices in the sales and rental markets are outpacing wage growth. High demand and new construction for rental units targeting Bloomington’s large student population is also concerning for long-term residents.</w:t>
            </w:r>
          </w:p>
        </w:tc>
      </w:tr>
      <w:tr>
        <w:trPr>
          <w:trHeight w:val="776" w:hRule="atLeast"/>
        </w:trPr>
        <w:tc>
          <w:tcPr>
            <w:tcW w:w="1624" w:type="dxa"/>
          </w:tcPr>
          <w:p>
            <w:pPr>
              <w:pStyle w:val="TableParagraph"/>
              <w:spacing w:line="276" w:lineRule="auto"/>
              <w:ind w:left="112" w:right="205"/>
              <w:rPr>
                <w:rFonts w:ascii="Arial"/>
                <w:sz w:val="22"/>
              </w:rPr>
            </w:pPr>
            <w:r>
              <w:rPr>
                <w:rFonts w:ascii="Arial"/>
                <w:sz w:val="22"/>
              </w:rPr>
              <w:t>Priority Need Name</w:t>
            </w:r>
          </w:p>
        </w:tc>
        <w:tc>
          <w:tcPr>
            <w:tcW w:w="7726" w:type="dxa"/>
          </w:tcPr>
          <w:p>
            <w:pPr>
              <w:pStyle w:val="TableParagraph"/>
              <w:spacing w:before="138"/>
              <w:ind w:left="112"/>
              <w:rPr>
                <w:rFonts w:ascii="Arial"/>
                <w:sz w:val="22"/>
              </w:rPr>
            </w:pPr>
            <w:r>
              <w:rPr>
                <w:rFonts w:ascii="Arial"/>
                <w:sz w:val="22"/>
              </w:rPr>
              <w:t>Public Facilities and Infrastructure Improvement</w:t>
            </w:r>
          </w:p>
        </w:tc>
      </w:tr>
      <w:tr>
        <w:trPr>
          <w:trHeight w:val="485" w:hRule="atLeast"/>
        </w:trPr>
        <w:tc>
          <w:tcPr>
            <w:tcW w:w="1624" w:type="dxa"/>
          </w:tcPr>
          <w:p>
            <w:pPr>
              <w:pStyle w:val="TableParagraph"/>
              <w:spacing w:line="245" w:lineRule="exact"/>
              <w:ind w:left="112"/>
              <w:rPr>
                <w:rFonts w:ascii="Arial"/>
                <w:sz w:val="22"/>
              </w:rPr>
            </w:pPr>
            <w:r>
              <w:rPr>
                <w:rFonts w:ascii="Arial"/>
                <w:sz w:val="22"/>
              </w:rPr>
              <w:t>Priority Level</w:t>
            </w:r>
          </w:p>
        </w:tc>
        <w:tc>
          <w:tcPr>
            <w:tcW w:w="7726" w:type="dxa"/>
          </w:tcPr>
          <w:p>
            <w:pPr>
              <w:pStyle w:val="TableParagraph"/>
              <w:spacing w:line="245" w:lineRule="exact"/>
              <w:ind w:left="112"/>
              <w:rPr>
                <w:rFonts w:ascii="Arial"/>
                <w:sz w:val="22"/>
              </w:rPr>
            </w:pPr>
            <w:r>
              <w:rPr>
                <w:rFonts w:ascii="Arial"/>
                <w:sz w:val="22"/>
              </w:rPr>
              <w:t>High</w:t>
            </w:r>
          </w:p>
        </w:tc>
      </w:tr>
      <w:tr>
        <w:trPr>
          <w:trHeight w:val="1573" w:hRule="atLeast"/>
        </w:trPr>
        <w:tc>
          <w:tcPr>
            <w:tcW w:w="1624" w:type="dxa"/>
          </w:tcPr>
          <w:p>
            <w:pPr>
              <w:pStyle w:val="TableParagraph"/>
              <w:spacing w:line="245" w:lineRule="exact"/>
              <w:ind w:left="112"/>
              <w:rPr>
                <w:rFonts w:ascii="Arial"/>
                <w:sz w:val="22"/>
              </w:rPr>
            </w:pPr>
            <w:r>
              <w:rPr>
                <w:rFonts w:ascii="Arial"/>
                <w:sz w:val="22"/>
              </w:rPr>
              <w:t>Population</w:t>
            </w:r>
          </w:p>
        </w:tc>
        <w:tc>
          <w:tcPr>
            <w:tcW w:w="7726" w:type="dxa"/>
          </w:tcPr>
          <w:p>
            <w:pPr>
              <w:pStyle w:val="TableParagraph"/>
              <w:numPr>
                <w:ilvl w:val="0"/>
                <w:numId w:val="12"/>
              </w:numPr>
              <w:tabs>
                <w:tab w:pos="832" w:val="left" w:leader="none"/>
                <w:tab w:pos="833" w:val="left" w:leader="none"/>
              </w:tabs>
              <w:spacing w:line="326" w:lineRule="exact" w:before="0" w:after="0"/>
              <w:ind w:left="832" w:right="0" w:hanging="361"/>
              <w:jc w:val="left"/>
              <w:rPr>
                <w:rFonts w:ascii="Arial" w:hAnsi="Arial"/>
                <w:sz w:val="22"/>
              </w:rPr>
            </w:pPr>
            <w:r>
              <w:rPr>
                <w:rFonts w:ascii="Arial" w:hAnsi="Arial"/>
                <w:sz w:val="22"/>
              </w:rPr>
              <w:t>Extremely Low Income</w:t>
            </w:r>
          </w:p>
          <w:p>
            <w:pPr>
              <w:pStyle w:val="TableParagraph"/>
              <w:numPr>
                <w:ilvl w:val="0"/>
                <w:numId w:val="12"/>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Low Income</w:t>
            </w:r>
          </w:p>
          <w:p>
            <w:pPr>
              <w:pStyle w:val="TableParagraph"/>
              <w:numPr>
                <w:ilvl w:val="0"/>
                <w:numId w:val="12"/>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Moderate Income</w:t>
            </w:r>
          </w:p>
          <w:p>
            <w:pPr>
              <w:pStyle w:val="TableParagraph"/>
              <w:numPr>
                <w:ilvl w:val="0"/>
                <w:numId w:val="12"/>
              </w:numPr>
              <w:tabs>
                <w:tab w:pos="832" w:val="left" w:leader="none"/>
                <w:tab w:pos="833" w:val="left" w:leader="none"/>
              </w:tabs>
              <w:spacing w:line="364" w:lineRule="exact" w:before="0" w:after="0"/>
              <w:ind w:left="832" w:right="0" w:hanging="361"/>
              <w:jc w:val="left"/>
              <w:rPr>
                <w:rFonts w:ascii="Arial" w:hAnsi="Arial"/>
                <w:sz w:val="22"/>
              </w:rPr>
            </w:pPr>
            <w:r>
              <w:rPr>
                <w:rFonts w:ascii="Arial" w:hAnsi="Arial"/>
                <w:sz w:val="22"/>
              </w:rPr>
              <w:t>Non-housing Community Development</w:t>
            </w:r>
          </w:p>
        </w:tc>
      </w:tr>
      <w:tr>
        <w:trPr>
          <w:trHeight w:val="1067" w:hRule="atLeast"/>
        </w:trPr>
        <w:tc>
          <w:tcPr>
            <w:tcW w:w="1624" w:type="dxa"/>
          </w:tcPr>
          <w:p>
            <w:pPr>
              <w:pStyle w:val="TableParagraph"/>
              <w:spacing w:line="276" w:lineRule="auto"/>
              <w:ind w:left="112" w:right="339"/>
              <w:rPr>
                <w:rFonts w:ascii="Arial"/>
                <w:sz w:val="22"/>
              </w:rPr>
            </w:pPr>
            <w:r>
              <w:rPr>
                <w:rFonts w:ascii="Arial"/>
                <w:sz w:val="22"/>
              </w:rPr>
              <w:t>Geographic Areas Affected</w:t>
            </w:r>
          </w:p>
        </w:tc>
        <w:tc>
          <w:tcPr>
            <w:tcW w:w="7726" w:type="dxa"/>
          </w:tcPr>
          <w:p>
            <w:pPr>
              <w:pStyle w:val="TableParagraph"/>
              <w:spacing w:line="245" w:lineRule="exact"/>
              <w:ind w:left="112"/>
              <w:rPr>
                <w:rFonts w:ascii="Arial"/>
                <w:sz w:val="22"/>
              </w:rPr>
            </w:pPr>
            <w:r>
              <w:rPr>
                <w:rFonts w:ascii="Arial"/>
                <w:sz w:val="22"/>
              </w:rPr>
              <w:t>City-wide</w:t>
            </w:r>
          </w:p>
        </w:tc>
      </w:tr>
      <w:tr>
        <w:trPr>
          <w:trHeight w:val="776" w:hRule="atLeast"/>
        </w:trPr>
        <w:tc>
          <w:tcPr>
            <w:tcW w:w="1624" w:type="dxa"/>
          </w:tcPr>
          <w:p>
            <w:pPr>
              <w:pStyle w:val="TableParagraph"/>
              <w:spacing w:line="276" w:lineRule="auto"/>
              <w:ind w:left="112" w:right="400"/>
              <w:rPr>
                <w:rFonts w:ascii="Arial"/>
                <w:sz w:val="22"/>
              </w:rPr>
            </w:pPr>
            <w:r>
              <w:rPr>
                <w:rFonts w:ascii="Arial"/>
                <w:sz w:val="22"/>
              </w:rPr>
              <w:t>Associated Goals</w:t>
            </w:r>
          </w:p>
        </w:tc>
        <w:tc>
          <w:tcPr>
            <w:tcW w:w="7726" w:type="dxa"/>
          </w:tcPr>
          <w:p>
            <w:pPr>
              <w:pStyle w:val="TableParagraph"/>
              <w:spacing w:line="245" w:lineRule="exact"/>
              <w:ind w:left="112"/>
              <w:rPr>
                <w:rFonts w:ascii="Arial"/>
                <w:sz w:val="22"/>
              </w:rPr>
            </w:pPr>
            <w:r>
              <w:rPr>
                <w:rFonts w:ascii="Arial"/>
                <w:sz w:val="22"/>
              </w:rPr>
              <w:t>Improve public facilities and infrastructure</w:t>
            </w:r>
          </w:p>
        </w:tc>
      </w:tr>
      <w:tr>
        <w:trPr>
          <w:trHeight w:val="1940" w:hRule="atLeast"/>
        </w:trPr>
        <w:tc>
          <w:tcPr>
            <w:tcW w:w="1624" w:type="dxa"/>
          </w:tcPr>
          <w:p>
            <w:pPr>
              <w:pStyle w:val="TableParagraph"/>
              <w:spacing w:line="245" w:lineRule="exact"/>
              <w:ind w:left="112"/>
              <w:rPr>
                <w:rFonts w:ascii="Arial"/>
                <w:sz w:val="22"/>
              </w:rPr>
            </w:pPr>
            <w:r>
              <w:rPr>
                <w:rFonts w:ascii="Arial"/>
                <w:sz w:val="22"/>
              </w:rPr>
              <w:t>Description</w:t>
            </w:r>
          </w:p>
        </w:tc>
        <w:tc>
          <w:tcPr>
            <w:tcW w:w="7726" w:type="dxa"/>
          </w:tcPr>
          <w:p>
            <w:pPr>
              <w:pStyle w:val="TableParagraph"/>
              <w:spacing w:line="276" w:lineRule="auto"/>
              <w:ind w:left="112" w:right="278"/>
              <w:rPr>
                <w:rFonts w:ascii="Arial"/>
                <w:sz w:val="22"/>
              </w:rPr>
            </w:pPr>
            <w:r>
              <w:rPr>
                <w:rFonts w:ascii="Arial"/>
                <w:sz w:val="22"/>
              </w:rPr>
              <w:t>Improvements to public facilities and infrastructure and facilities that deliver public services. Infrastructure improvements include: solid waste disposal, flood drains, water/sewer, streets, sidewalks, neighborhood facilities, and parks and recreational facilities. Public facilities include those that serve youth/children, abused and neglected children, seniors, persons with disabilities and other vulnerable populations.</w:t>
            </w:r>
          </w:p>
        </w:tc>
      </w:tr>
      <w:tr>
        <w:trPr>
          <w:trHeight w:val="1358" w:hRule="atLeast"/>
        </w:trPr>
        <w:tc>
          <w:tcPr>
            <w:tcW w:w="1624" w:type="dxa"/>
          </w:tcPr>
          <w:p>
            <w:pPr>
              <w:pStyle w:val="TableParagraph"/>
              <w:spacing w:line="276" w:lineRule="auto"/>
              <w:ind w:left="112" w:right="638"/>
              <w:jc w:val="both"/>
              <w:rPr>
                <w:rFonts w:ascii="Arial"/>
                <w:sz w:val="22"/>
              </w:rPr>
            </w:pPr>
            <w:r>
              <w:rPr>
                <w:rFonts w:ascii="Arial"/>
                <w:sz w:val="22"/>
              </w:rPr>
              <w:t>Basis for Relative Priority</w:t>
            </w:r>
          </w:p>
        </w:tc>
        <w:tc>
          <w:tcPr>
            <w:tcW w:w="7726" w:type="dxa"/>
          </w:tcPr>
          <w:p>
            <w:pPr>
              <w:pStyle w:val="TableParagraph"/>
              <w:spacing w:line="276" w:lineRule="auto"/>
              <w:ind w:left="112" w:right="254"/>
              <w:rPr>
                <w:rFonts w:ascii="Arial"/>
                <w:sz w:val="22"/>
              </w:rPr>
            </w:pPr>
            <w:r>
              <w:rPr>
                <w:rFonts w:ascii="Arial"/>
                <w:sz w:val="22"/>
              </w:rPr>
              <w:t>There is a need to make improvements, particularly in low- and moderate- income areas and for elderly residents, in which the local jurisdictions are less able to leverage resources or attract investments that are necessary to improve the quality of life.</w:t>
            </w:r>
          </w:p>
        </w:tc>
      </w:tr>
      <w:tr>
        <w:trPr>
          <w:trHeight w:val="776" w:hRule="atLeast"/>
        </w:trPr>
        <w:tc>
          <w:tcPr>
            <w:tcW w:w="1624" w:type="dxa"/>
          </w:tcPr>
          <w:p>
            <w:pPr>
              <w:pStyle w:val="TableParagraph"/>
              <w:spacing w:line="276" w:lineRule="auto"/>
              <w:ind w:left="112" w:right="205"/>
              <w:rPr>
                <w:rFonts w:ascii="Arial"/>
                <w:sz w:val="22"/>
              </w:rPr>
            </w:pPr>
            <w:r>
              <w:rPr>
                <w:rFonts w:ascii="Arial"/>
                <w:sz w:val="22"/>
              </w:rPr>
              <w:t>Priority Need Name</w:t>
            </w:r>
          </w:p>
        </w:tc>
        <w:tc>
          <w:tcPr>
            <w:tcW w:w="7726" w:type="dxa"/>
          </w:tcPr>
          <w:p>
            <w:pPr>
              <w:pStyle w:val="TableParagraph"/>
              <w:spacing w:before="138"/>
              <w:ind w:left="112"/>
              <w:rPr>
                <w:rFonts w:ascii="Arial"/>
                <w:sz w:val="22"/>
              </w:rPr>
            </w:pPr>
            <w:r>
              <w:rPr>
                <w:rFonts w:ascii="Arial"/>
                <w:sz w:val="22"/>
              </w:rPr>
              <w:t>Provide Public Services</w:t>
            </w:r>
          </w:p>
        </w:tc>
      </w:tr>
    </w:tbl>
    <w:p>
      <w:pPr>
        <w:spacing w:after="0"/>
        <w:rPr>
          <w:rFonts w:ascii="Arial"/>
          <w:sz w:val="22"/>
        </w:rPr>
        <w:sectPr>
          <w:headerReference w:type="default" r:id="rId107"/>
          <w:footerReference w:type="default" r:id="rId108"/>
          <w:pgSz w:w="12240" w:h="15840"/>
          <w:pgMar w:header="0" w:footer="1260" w:top="1440" w:bottom="1460" w:left="1220" w:right="100"/>
          <w:pgNumType w:start="97"/>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4"/>
        <w:gridCol w:w="7726"/>
      </w:tblGrid>
      <w:tr>
        <w:trPr>
          <w:trHeight w:val="485" w:hRule="atLeast"/>
        </w:trPr>
        <w:tc>
          <w:tcPr>
            <w:tcW w:w="1624" w:type="dxa"/>
          </w:tcPr>
          <w:p>
            <w:pPr>
              <w:pStyle w:val="TableParagraph"/>
              <w:spacing w:line="245" w:lineRule="exact"/>
              <w:ind w:left="112"/>
              <w:rPr>
                <w:rFonts w:ascii="Arial"/>
                <w:sz w:val="22"/>
              </w:rPr>
            </w:pPr>
            <w:r>
              <w:rPr>
                <w:rFonts w:ascii="Arial"/>
                <w:sz w:val="22"/>
              </w:rPr>
              <w:t>Priority Level</w:t>
            </w:r>
          </w:p>
        </w:tc>
        <w:tc>
          <w:tcPr>
            <w:tcW w:w="7726" w:type="dxa"/>
          </w:tcPr>
          <w:p>
            <w:pPr>
              <w:pStyle w:val="TableParagraph"/>
              <w:spacing w:line="245" w:lineRule="exact"/>
              <w:ind w:left="112"/>
              <w:rPr>
                <w:rFonts w:ascii="Arial"/>
                <w:sz w:val="22"/>
              </w:rPr>
            </w:pPr>
            <w:r>
              <w:rPr>
                <w:rFonts w:ascii="Arial"/>
                <w:sz w:val="22"/>
              </w:rPr>
              <w:t>High</w:t>
            </w:r>
          </w:p>
        </w:tc>
      </w:tr>
      <w:tr>
        <w:trPr>
          <w:trHeight w:val="4405" w:hRule="atLeast"/>
        </w:trPr>
        <w:tc>
          <w:tcPr>
            <w:tcW w:w="1624" w:type="dxa"/>
          </w:tcPr>
          <w:p>
            <w:pPr>
              <w:pStyle w:val="TableParagraph"/>
              <w:spacing w:line="245" w:lineRule="exact"/>
              <w:ind w:left="112"/>
              <w:rPr>
                <w:rFonts w:ascii="Arial"/>
                <w:sz w:val="22"/>
              </w:rPr>
            </w:pPr>
            <w:r>
              <w:rPr>
                <w:rFonts w:ascii="Arial"/>
                <w:sz w:val="22"/>
              </w:rPr>
              <w:t>Population</w:t>
            </w:r>
          </w:p>
        </w:tc>
        <w:tc>
          <w:tcPr>
            <w:tcW w:w="7726" w:type="dxa"/>
          </w:tcPr>
          <w:p>
            <w:pPr>
              <w:pStyle w:val="TableParagraph"/>
              <w:numPr>
                <w:ilvl w:val="0"/>
                <w:numId w:val="13"/>
              </w:numPr>
              <w:tabs>
                <w:tab w:pos="832" w:val="left" w:leader="none"/>
                <w:tab w:pos="833" w:val="left" w:leader="none"/>
              </w:tabs>
              <w:spacing w:line="341" w:lineRule="exact" w:before="0" w:after="0"/>
              <w:ind w:left="832" w:right="0" w:hanging="361"/>
              <w:jc w:val="left"/>
              <w:rPr>
                <w:rFonts w:ascii="Arial" w:hAnsi="Arial"/>
                <w:sz w:val="22"/>
              </w:rPr>
            </w:pPr>
            <w:r>
              <w:rPr>
                <w:rFonts w:ascii="Arial" w:hAnsi="Arial"/>
                <w:sz w:val="22"/>
              </w:rPr>
              <w:t>Extremely Low Income</w:t>
            </w:r>
          </w:p>
          <w:p>
            <w:pPr>
              <w:pStyle w:val="TableParagraph"/>
              <w:spacing w:line="276" w:lineRule="auto"/>
              <w:ind w:left="832" w:right="5147"/>
              <w:rPr>
                <w:rFonts w:ascii="Arial"/>
                <w:sz w:val="22"/>
              </w:rPr>
            </w:pPr>
            <w:r>
              <w:rPr>
                <w:rFonts w:ascii="Arial"/>
                <w:sz w:val="22"/>
              </w:rPr>
              <w:t>Low Income Moderate Income</w:t>
            </w:r>
          </w:p>
          <w:p>
            <w:pPr>
              <w:pStyle w:val="TableParagraph"/>
              <w:numPr>
                <w:ilvl w:val="0"/>
                <w:numId w:val="13"/>
              </w:numPr>
              <w:tabs>
                <w:tab w:pos="832" w:val="left" w:leader="none"/>
                <w:tab w:pos="833" w:val="left" w:leader="none"/>
              </w:tabs>
              <w:spacing w:line="333" w:lineRule="exact" w:before="0" w:after="0"/>
              <w:ind w:left="832" w:right="0" w:hanging="361"/>
              <w:jc w:val="left"/>
              <w:rPr>
                <w:rFonts w:ascii="Arial" w:hAnsi="Arial"/>
                <w:sz w:val="22"/>
              </w:rPr>
            </w:pPr>
            <w:r>
              <w:rPr>
                <w:rFonts w:ascii="Arial" w:hAnsi="Arial"/>
                <w:sz w:val="22"/>
              </w:rPr>
              <w:t>Elderly</w:t>
            </w:r>
          </w:p>
          <w:p>
            <w:pPr>
              <w:pStyle w:val="TableParagraph"/>
              <w:numPr>
                <w:ilvl w:val="0"/>
                <w:numId w:val="13"/>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Frail Elderly</w:t>
            </w:r>
          </w:p>
          <w:p>
            <w:pPr>
              <w:pStyle w:val="TableParagraph"/>
              <w:numPr>
                <w:ilvl w:val="0"/>
                <w:numId w:val="13"/>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mental, physical and developmental disabilities</w:t>
            </w:r>
          </w:p>
          <w:p>
            <w:pPr>
              <w:pStyle w:val="TableParagraph"/>
              <w:numPr>
                <w:ilvl w:val="0"/>
                <w:numId w:val="13"/>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Victims of domestic violence</w:t>
            </w:r>
          </w:p>
          <w:p>
            <w:pPr>
              <w:pStyle w:val="TableParagraph"/>
              <w:numPr>
                <w:ilvl w:val="0"/>
                <w:numId w:val="13"/>
              </w:numPr>
              <w:tabs>
                <w:tab w:pos="832" w:val="left" w:leader="none"/>
                <w:tab w:pos="833" w:val="left" w:leader="none"/>
              </w:tabs>
              <w:spacing w:line="345" w:lineRule="exact" w:before="0" w:after="0"/>
              <w:ind w:left="832" w:right="0" w:hanging="361"/>
              <w:jc w:val="left"/>
              <w:rPr>
                <w:rFonts w:ascii="Arial" w:hAnsi="Arial"/>
                <w:sz w:val="22"/>
              </w:rPr>
            </w:pPr>
            <w:r>
              <w:rPr>
                <w:rFonts w:ascii="Arial" w:hAnsi="Arial"/>
                <w:sz w:val="22"/>
              </w:rPr>
              <w:t>Persons with HIV/AIDS and their Families</w:t>
            </w:r>
          </w:p>
          <w:p>
            <w:pPr>
              <w:pStyle w:val="TableParagraph"/>
              <w:numPr>
                <w:ilvl w:val="0"/>
                <w:numId w:val="13"/>
              </w:numPr>
              <w:tabs>
                <w:tab w:pos="832" w:val="left" w:leader="none"/>
                <w:tab w:pos="833" w:val="left" w:leader="none"/>
              </w:tabs>
              <w:spacing w:line="360" w:lineRule="exact" w:before="0" w:after="0"/>
              <w:ind w:left="832" w:right="0" w:hanging="361"/>
              <w:jc w:val="left"/>
              <w:rPr>
                <w:rFonts w:ascii="Arial" w:hAnsi="Arial"/>
                <w:sz w:val="22"/>
              </w:rPr>
            </w:pPr>
            <w:r>
              <w:rPr>
                <w:rFonts w:ascii="Arial" w:hAnsi="Arial"/>
                <w:sz w:val="22"/>
              </w:rPr>
              <w:t>Homeless (including chronic, individuals, families with children,</w:t>
            </w:r>
          </w:p>
          <w:p>
            <w:pPr>
              <w:pStyle w:val="TableParagraph"/>
              <w:spacing w:line="276" w:lineRule="auto"/>
              <w:ind w:left="832" w:right="659"/>
              <w:rPr>
                <w:rFonts w:ascii="Arial"/>
                <w:sz w:val="22"/>
              </w:rPr>
            </w:pPr>
            <w:r>
              <w:rPr>
                <w:rFonts w:ascii="Arial"/>
                <w:sz w:val="22"/>
              </w:rPr>
              <w:t>mentally ill, substance abuse, veterans, persons with HIV/AIDS, victims of domestic violence and unaccompanied youth)</w:t>
            </w:r>
          </w:p>
          <w:p>
            <w:pPr>
              <w:pStyle w:val="TableParagraph"/>
              <w:numPr>
                <w:ilvl w:val="0"/>
                <w:numId w:val="13"/>
              </w:numPr>
              <w:tabs>
                <w:tab w:pos="832" w:val="left" w:leader="none"/>
                <w:tab w:pos="833" w:val="left" w:leader="none"/>
              </w:tabs>
              <w:spacing w:line="348" w:lineRule="exact" w:before="0" w:after="0"/>
              <w:ind w:left="832" w:right="0" w:hanging="361"/>
              <w:jc w:val="left"/>
              <w:rPr>
                <w:rFonts w:ascii="Arial" w:hAnsi="Arial"/>
                <w:sz w:val="22"/>
              </w:rPr>
            </w:pPr>
            <w:r>
              <w:rPr>
                <w:rFonts w:ascii="Arial" w:hAnsi="Arial"/>
                <w:sz w:val="22"/>
              </w:rPr>
              <w:t>Families with children</w:t>
            </w:r>
          </w:p>
          <w:p>
            <w:pPr>
              <w:pStyle w:val="TableParagraph"/>
              <w:spacing w:line="249" w:lineRule="exact"/>
              <w:ind w:left="832"/>
              <w:rPr>
                <w:rFonts w:ascii="Arial"/>
                <w:sz w:val="22"/>
              </w:rPr>
            </w:pPr>
            <w:r>
              <w:rPr>
                <w:rFonts w:ascii="Arial"/>
                <w:sz w:val="22"/>
              </w:rPr>
              <w:t>Non-housing Community Development</w:t>
            </w:r>
          </w:p>
        </w:tc>
      </w:tr>
      <w:tr>
        <w:trPr>
          <w:trHeight w:val="1067" w:hRule="atLeast"/>
        </w:trPr>
        <w:tc>
          <w:tcPr>
            <w:tcW w:w="1624" w:type="dxa"/>
          </w:tcPr>
          <w:p>
            <w:pPr>
              <w:pStyle w:val="TableParagraph"/>
              <w:spacing w:line="276" w:lineRule="auto"/>
              <w:ind w:left="112" w:right="339"/>
              <w:rPr>
                <w:rFonts w:ascii="Arial"/>
                <w:sz w:val="22"/>
              </w:rPr>
            </w:pPr>
            <w:r>
              <w:rPr>
                <w:rFonts w:ascii="Arial"/>
                <w:sz w:val="22"/>
              </w:rPr>
              <w:t>Geographic Areas Affected</w:t>
            </w:r>
          </w:p>
        </w:tc>
        <w:tc>
          <w:tcPr>
            <w:tcW w:w="7726" w:type="dxa"/>
          </w:tcPr>
          <w:p>
            <w:pPr>
              <w:pStyle w:val="TableParagraph"/>
              <w:spacing w:line="245" w:lineRule="exact"/>
              <w:ind w:left="112"/>
              <w:rPr>
                <w:rFonts w:ascii="Arial"/>
                <w:sz w:val="22"/>
              </w:rPr>
            </w:pPr>
            <w:r>
              <w:rPr>
                <w:rFonts w:ascii="Arial"/>
                <w:sz w:val="22"/>
              </w:rPr>
              <w:t>City-wide</w:t>
            </w:r>
          </w:p>
          <w:p>
            <w:pPr>
              <w:pStyle w:val="TableParagraph"/>
              <w:spacing w:before="7"/>
              <w:rPr>
                <w:rFonts w:ascii="Arial"/>
                <w:sz w:val="20"/>
              </w:rPr>
            </w:pPr>
          </w:p>
          <w:p>
            <w:pPr>
              <w:pStyle w:val="TableParagraph"/>
              <w:spacing w:before="1"/>
              <w:ind w:left="112"/>
              <w:rPr>
                <w:rFonts w:ascii="Arial"/>
                <w:sz w:val="22"/>
              </w:rPr>
            </w:pPr>
            <w:r>
              <w:rPr>
                <w:rFonts w:ascii="Arial"/>
                <w:sz w:val="22"/>
              </w:rPr>
              <w:t>CDBG-eligible areas</w:t>
            </w:r>
          </w:p>
        </w:tc>
      </w:tr>
      <w:tr>
        <w:trPr>
          <w:trHeight w:val="776" w:hRule="atLeast"/>
        </w:trPr>
        <w:tc>
          <w:tcPr>
            <w:tcW w:w="1624" w:type="dxa"/>
          </w:tcPr>
          <w:p>
            <w:pPr>
              <w:pStyle w:val="TableParagraph"/>
              <w:spacing w:line="276" w:lineRule="auto"/>
              <w:ind w:left="112" w:right="400"/>
              <w:rPr>
                <w:rFonts w:ascii="Arial"/>
                <w:sz w:val="22"/>
              </w:rPr>
            </w:pPr>
            <w:r>
              <w:rPr>
                <w:rFonts w:ascii="Arial"/>
                <w:sz w:val="22"/>
              </w:rPr>
              <w:t>Associated Goals</w:t>
            </w:r>
          </w:p>
        </w:tc>
        <w:tc>
          <w:tcPr>
            <w:tcW w:w="7726" w:type="dxa"/>
          </w:tcPr>
          <w:p>
            <w:pPr>
              <w:pStyle w:val="TableParagraph"/>
              <w:spacing w:line="245" w:lineRule="exact"/>
              <w:ind w:left="112"/>
              <w:rPr>
                <w:rFonts w:ascii="Arial"/>
                <w:sz w:val="22"/>
              </w:rPr>
            </w:pPr>
            <w:r>
              <w:rPr>
                <w:rFonts w:ascii="Arial"/>
                <w:sz w:val="22"/>
              </w:rPr>
              <w:t>Provide public services</w:t>
            </w:r>
          </w:p>
        </w:tc>
      </w:tr>
      <w:tr>
        <w:trPr>
          <w:trHeight w:val="1649" w:hRule="atLeast"/>
        </w:trPr>
        <w:tc>
          <w:tcPr>
            <w:tcW w:w="1624" w:type="dxa"/>
          </w:tcPr>
          <w:p>
            <w:pPr>
              <w:pStyle w:val="TableParagraph"/>
              <w:spacing w:line="245" w:lineRule="exact"/>
              <w:ind w:left="112"/>
              <w:rPr>
                <w:rFonts w:ascii="Arial"/>
                <w:sz w:val="22"/>
              </w:rPr>
            </w:pPr>
            <w:r>
              <w:rPr>
                <w:rFonts w:ascii="Arial"/>
                <w:sz w:val="22"/>
              </w:rPr>
              <w:t>Description</w:t>
            </w:r>
          </w:p>
        </w:tc>
        <w:tc>
          <w:tcPr>
            <w:tcW w:w="7726" w:type="dxa"/>
          </w:tcPr>
          <w:p>
            <w:pPr>
              <w:pStyle w:val="TableParagraph"/>
              <w:spacing w:line="276" w:lineRule="auto"/>
              <w:ind w:left="112" w:right="706"/>
              <w:rPr>
                <w:rFonts w:ascii="Arial"/>
                <w:sz w:val="22"/>
              </w:rPr>
            </w:pPr>
            <w:r>
              <w:rPr>
                <w:rFonts w:ascii="Arial"/>
                <w:sz w:val="22"/>
              </w:rPr>
              <w:t>Delivery of public services for seniors, persons with disabilities, youth, victims of domestic violence, abused and neglected children as well as childcare services, health and mental health services, food access, broadband access, transportation, non-homeless special needs and employment training.</w:t>
            </w:r>
          </w:p>
        </w:tc>
      </w:tr>
      <w:tr>
        <w:trPr>
          <w:trHeight w:val="1358" w:hRule="atLeast"/>
        </w:trPr>
        <w:tc>
          <w:tcPr>
            <w:tcW w:w="1624" w:type="dxa"/>
          </w:tcPr>
          <w:p>
            <w:pPr>
              <w:pStyle w:val="TableParagraph"/>
              <w:spacing w:line="276" w:lineRule="auto"/>
              <w:ind w:left="112" w:right="638"/>
              <w:jc w:val="both"/>
              <w:rPr>
                <w:rFonts w:ascii="Arial"/>
                <w:sz w:val="22"/>
              </w:rPr>
            </w:pPr>
            <w:r>
              <w:rPr>
                <w:rFonts w:ascii="Arial"/>
                <w:sz w:val="22"/>
              </w:rPr>
              <w:t>Basis for Relative Priority</w:t>
            </w:r>
          </w:p>
        </w:tc>
        <w:tc>
          <w:tcPr>
            <w:tcW w:w="7726" w:type="dxa"/>
          </w:tcPr>
          <w:p>
            <w:pPr>
              <w:pStyle w:val="TableParagraph"/>
              <w:spacing w:line="276" w:lineRule="auto"/>
              <w:ind w:left="112" w:right="388"/>
              <w:rPr>
                <w:rFonts w:ascii="Arial"/>
                <w:sz w:val="22"/>
              </w:rPr>
            </w:pPr>
            <w:r>
              <w:rPr>
                <w:rFonts w:ascii="Arial"/>
                <w:sz w:val="22"/>
              </w:rPr>
              <w:t>Affordable childcare and food security were cited by stakeholders as particular needs. In addition, services for people with mental health and/or substance misuse disorders are necessary to provide housing stability.</w:t>
            </w:r>
          </w:p>
          <w:p>
            <w:pPr>
              <w:pStyle w:val="TableParagraph"/>
              <w:ind w:left="112"/>
              <w:rPr>
                <w:rFonts w:ascii="Arial"/>
                <w:sz w:val="22"/>
              </w:rPr>
            </w:pPr>
            <w:r>
              <w:rPr>
                <w:rFonts w:ascii="Arial"/>
                <w:sz w:val="22"/>
              </w:rPr>
              <w:t>There are language barriers, so LEP services were also identified as a need.</w:t>
            </w:r>
          </w:p>
        </w:tc>
      </w:tr>
      <w:tr>
        <w:trPr>
          <w:trHeight w:val="776" w:hRule="atLeast"/>
        </w:trPr>
        <w:tc>
          <w:tcPr>
            <w:tcW w:w="1624" w:type="dxa"/>
          </w:tcPr>
          <w:p>
            <w:pPr>
              <w:pStyle w:val="TableParagraph"/>
              <w:spacing w:line="276" w:lineRule="auto"/>
              <w:ind w:left="112" w:right="205"/>
              <w:rPr>
                <w:rFonts w:ascii="Arial"/>
                <w:sz w:val="22"/>
              </w:rPr>
            </w:pPr>
            <w:r>
              <w:rPr>
                <w:rFonts w:ascii="Arial"/>
                <w:sz w:val="22"/>
              </w:rPr>
              <w:t>Priority Need Name</w:t>
            </w:r>
          </w:p>
        </w:tc>
        <w:tc>
          <w:tcPr>
            <w:tcW w:w="7726" w:type="dxa"/>
          </w:tcPr>
          <w:p>
            <w:pPr>
              <w:pStyle w:val="TableParagraph"/>
              <w:spacing w:line="276" w:lineRule="auto"/>
              <w:ind w:left="112" w:right="1110"/>
              <w:rPr>
                <w:rFonts w:ascii="Arial"/>
                <w:sz w:val="22"/>
              </w:rPr>
            </w:pPr>
            <w:r>
              <w:rPr>
                <w:rFonts w:ascii="Arial"/>
                <w:sz w:val="22"/>
              </w:rPr>
              <w:t>Provide Housing and Services for Persons Experiencing/At Risk of Homelessness</w:t>
            </w:r>
          </w:p>
        </w:tc>
      </w:tr>
      <w:tr>
        <w:trPr>
          <w:trHeight w:val="485" w:hRule="atLeast"/>
        </w:trPr>
        <w:tc>
          <w:tcPr>
            <w:tcW w:w="1624" w:type="dxa"/>
          </w:tcPr>
          <w:p>
            <w:pPr>
              <w:pStyle w:val="TableParagraph"/>
              <w:spacing w:line="245" w:lineRule="exact"/>
              <w:ind w:left="112"/>
              <w:rPr>
                <w:rFonts w:ascii="Arial"/>
                <w:sz w:val="22"/>
              </w:rPr>
            </w:pPr>
            <w:r>
              <w:rPr>
                <w:rFonts w:ascii="Arial"/>
                <w:sz w:val="22"/>
              </w:rPr>
              <w:t>Priority Level</w:t>
            </w:r>
          </w:p>
        </w:tc>
        <w:tc>
          <w:tcPr>
            <w:tcW w:w="7726" w:type="dxa"/>
          </w:tcPr>
          <w:p>
            <w:pPr>
              <w:pStyle w:val="TableParagraph"/>
              <w:spacing w:line="245" w:lineRule="exact"/>
              <w:ind w:left="112"/>
              <w:rPr>
                <w:rFonts w:ascii="Arial"/>
                <w:sz w:val="22"/>
              </w:rPr>
            </w:pPr>
            <w:r>
              <w:rPr>
                <w:rFonts w:ascii="Arial"/>
                <w:sz w:val="22"/>
              </w:rPr>
              <w:t>High</w:t>
            </w:r>
          </w:p>
        </w:tc>
      </w:tr>
    </w:tbl>
    <w:p>
      <w:pPr>
        <w:spacing w:after="0" w:line="245" w:lineRule="exact"/>
        <w:rPr>
          <w:rFonts w:ascii="Arial"/>
          <w:sz w:val="22"/>
        </w:rPr>
        <w:sectPr>
          <w:headerReference w:type="default" r:id="rId109"/>
          <w:footerReference w:type="default" r:id="rId110"/>
          <w:pgSz w:w="12240" w:h="15840"/>
          <w:pgMar w:header="0" w:footer="1260" w:top="1440" w:bottom="1460" w:left="1220" w:right="100"/>
          <w:pgNumType w:start="98"/>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24"/>
        <w:gridCol w:w="7726"/>
      </w:tblGrid>
      <w:tr>
        <w:trPr>
          <w:trHeight w:val="2904" w:hRule="atLeast"/>
        </w:trPr>
        <w:tc>
          <w:tcPr>
            <w:tcW w:w="1624" w:type="dxa"/>
          </w:tcPr>
          <w:p>
            <w:pPr>
              <w:pStyle w:val="TableParagraph"/>
              <w:spacing w:line="245" w:lineRule="exact"/>
              <w:ind w:left="112"/>
              <w:rPr>
                <w:rFonts w:ascii="Arial"/>
                <w:sz w:val="22"/>
              </w:rPr>
            </w:pPr>
            <w:r>
              <w:rPr>
                <w:rFonts w:ascii="Arial"/>
                <w:sz w:val="22"/>
              </w:rPr>
              <w:t>Population</w:t>
            </w:r>
          </w:p>
        </w:tc>
        <w:tc>
          <w:tcPr>
            <w:tcW w:w="7726" w:type="dxa"/>
          </w:tcPr>
          <w:p>
            <w:pPr>
              <w:pStyle w:val="TableParagraph"/>
              <w:spacing w:line="276" w:lineRule="auto"/>
              <w:ind w:left="112" w:right="5427"/>
              <w:rPr>
                <w:rFonts w:ascii="Arial"/>
                <w:sz w:val="22"/>
              </w:rPr>
            </w:pPr>
            <w:r>
              <w:rPr>
                <w:rFonts w:ascii="Arial"/>
                <w:sz w:val="22"/>
              </w:rPr>
              <w:t>Families with Children Elderly Families Elderly</w:t>
            </w:r>
          </w:p>
          <w:p>
            <w:pPr>
              <w:pStyle w:val="TableParagraph"/>
              <w:ind w:left="112"/>
              <w:rPr>
                <w:rFonts w:ascii="Arial"/>
                <w:sz w:val="22"/>
              </w:rPr>
            </w:pPr>
            <w:r>
              <w:rPr>
                <w:rFonts w:ascii="Arial"/>
                <w:sz w:val="22"/>
              </w:rPr>
              <w:t>Frail Elderly</w:t>
            </w:r>
          </w:p>
          <w:p>
            <w:pPr>
              <w:pStyle w:val="TableParagraph"/>
              <w:spacing w:line="276" w:lineRule="auto" w:before="30"/>
              <w:ind w:left="112" w:right="3695"/>
              <w:rPr>
                <w:rFonts w:ascii="Arial"/>
                <w:sz w:val="22"/>
              </w:rPr>
            </w:pPr>
            <w:r>
              <w:rPr>
                <w:rFonts w:ascii="Arial"/>
                <w:sz w:val="22"/>
              </w:rPr>
              <w:t>Persons with Mental Disabilities Persons with Physical Disabilities Persons with Developmental</w:t>
            </w:r>
            <w:r>
              <w:rPr>
                <w:rFonts w:ascii="Arial"/>
                <w:spacing w:val="6"/>
                <w:sz w:val="22"/>
              </w:rPr>
              <w:t> </w:t>
            </w:r>
            <w:r>
              <w:rPr>
                <w:rFonts w:ascii="Arial"/>
                <w:spacing w:val="-2"/>
                <w:sz w:val="22"/>
              </w:rPr>
              <w:t>Disabilities</w:t>
            </w:r>
          </w:p>
          <w:p>
            <w:pPr>
              <w:pStyle w:val="TableParagraph"/>
              <w:spacing w:line="276" w:lineRule="auto"/>
              <w:ind w:left="112" w:right="3519"/>
              <w:rPr>
                <w:rFonts w:ascii="Arial"/>
                <w:sz w:val="22"/>
              </w:rPr>
            </w:pPr>
            <w:r>
              <w:rPr>
                <w:rFonts w:ascii="Arial"/>
                <w:sz w:val="22"/>
              </w:rPr>
              <w:t>Persons with Alcohol or Other Addictions Persons with HIV/AIDS and their Families</w:t>
            </w:r>
          </w:p>
          <w:p>
            <w:pPr>
              <w:pStyle w:val="TableParagraph"/>
              <w:ind w:left="112"/>
              <w:rPr>
                <w:rFonts w:ascii="Arial"/>
                <w:sz w:val="22"/>
              </w:rPr>
            </w:pPr>
            <w:r>
              <w:rPr>
                <w:rFonts w:ascii="Arial"/>
                <w:sz w:val="22"/>
              </w:rPr>
              <w:t>Victims of Domestic Violence</w:t>
            </w:r>
          </w:p>
        </w:tc>
      </w:tr>
      <w:tr>
        <w:trPr>
          <w:trHeight w:val="1067" w:hRule="atLeast"/>
        </w:trPr>
        <w:tc>
          <w:tcPr>
            <w:tcW w:w="1624" w:type="dxa"/>
          </w:tcPr>
          <w:p>
            <w:pPr>
              <w:pStyle w:val="TableParagraph"/>
              <w:spacing w:line="276" w:lineRule="auto"/>
              <w:ind w:left="112" w:right="339"/>
              <w:rPr>
                <w:rFonts w:ascii="Arial"/>
                <w:sz w:val="22"/>
              </w:rPr>
            </w:pPr>
            <w:r>
              <w:rPr>
                <w:rFonts w:ascii="Arial"/>
                <w:sz w:val="22"/>
              </w:rPr>
              <w:t>Geographic Areas Affected</w:t>
            </w:r>
          </w:p>
        </w:tc>
        <w:tc>
          <w:tcPr>
            <w:tcW w:w="7726" w:type="dxa"/>
          </w:tcPr>
          <w:p>
            <w:pPr>
              <w:pStyle w:val="TableParagraph"/>
              <w:spacing w:line="245" w:lineRule="exact"/>
              <w:ind w:left="112"/>
              <w:rPr>
                <w:rFonts w:ascii="Arial"/>
                <w:sz w:val="22"/>
              </w:rPr>
            </w:pPr>
            <w:r>
              <w:rPr>
                <w:rFonts w:ascii="Arial"/>
                <w:sz w:val="22"/>
              </w:rPr>
              <w:t>City-wide</w:t>
            </w:r>
          </w:p>
          <w:p>
            <w:pPr>
              <w:pStyle w:val="TableParagraph"/>
              <w:spacing w:before="7"/>
              <w:rPr>
                <w:rFonts w:ascii="Arial"/>
                <w:sz w:val="20"/>
              </w:rPr>
            </w:pPr>
          </w:p>
          <w:p>
            <w:pPr>
              <w:pStyle w:val="TableParagraph"/>
              <w:spacing w:before="1"/>
              <w:ind w:left="112"/>
              <w:rPr>
                <w:rFonts w:ascii="Arial"/>
                <w:sz w:val="22"/>
              </w:rPr>
            </w:pPr>
            <w:r>
              <w:rPr>
                <w:rFonts w:ascii="Arial"/>
                <w:sz w:val="22"/>
              </w:rPr>
              <w:t>CDBG-eligible areas</w:t>
            </w:r>
          </w:p>
        </w:tc>
      </w:tr>
      <w:tr>
        <w:trPr>
          <w:trHeight w:val="776" w:hRule="atLeast"/>
        </w:trPr>
        <w:tc>
          <w:tcPr>
            <w:tcW w:w="1624" w:type="dxa"/>
          </w:tcPr>
          <w:p>
            <w:pPr>
              <w:pStyle w:val="TableParagraph"/>
              <w:spacing w:line="276" w:lineRule="auto"/>
              <w:ind w:left="112" w:right="400"/>
              <w:rPr>
                <w:rFonts w:ascii="Arial"/>
                <w:sz w:val="22"/>
              </w:rPr>
            </w:pPr>
            <w:r>
              <w:rPr>
                <w:rFonts w:ascii="Arial"/>
                <w:sz w:val="22"/>
              </w:rPr>
              <w:t>Associated Goals</w:t>
            </w:r>
          </w:p>
        </w:tc>
        <w:tc>
          <w:tcPr>
            <w:tcW w:w="7726" w:type="dxa"/>
          </w:tcPr>
          <w:p>
            <w:pPr>
              <w:pStyle w:val="TableParagraph"/>
              <w:spacing w:line="245" w:lineRule="exact"/>
              <w:ind w:left="112"/>
              <w:rPr>
                <w:rFonts w:ascii="Arial"/>
                <w:sz w:val="22"/>
              </w:rPr>
            </w:pPr>
            <w:r>
              <w:rPr>
                <w:rFonts w:ascii="Arial"/>
                <w:sz w:val="22"/>
              </w:rPr>
              <w:t>Provide housing/services to the homeless/at risk of homelessness</w:t>
            </w:r>
          </w:p>
        </w:tc>
      </w:tr>
      <w:tr>
        <w:trPr>
          <w:trHeight w:val="776" w:hRule="atLeast"/>
        </w:trPr>
        <w:tc>
          <w:tcPr>
            <w:tcW w:w="1624" w:type="dxa"/>
          </w:tcPr>
          <w:p>
            <w:pPr>
              <w:pStyle w:val="TableParagraph"/>
              <w:spacing w:line="245" w:lineRule="exact"/>
              <w:ind w:left="112"/>
              <w:rPr>
                <w:rFonts w:ascii="Arial"/>
                <w:sz w:val="22"/>
              </w:rPr>
            </w:pPr>
            <w:r>
              <w:rPr>
                <w:rFonts w:ascii="Arial"/>
                <w:sz w:val="22"/>
              </w:rPr>
              <w:t>Description</w:t>
            </w:r>
          </w:p>
        </w:tc>
        <w:tc>
          <w:tcPr>
            <w:tcW w:w="7726" w:type="dxa"/>
          </w:tcPr>
          <w:p>
            <w:pPr>
              <w:pStyle w:val="TableParagraph"/>
              <w:spacing w:line="276" w:lineRule="auto"/>
              <w:ind w:left="112" w:right="1061"/>
              <w:rPr>
                <w:rFonts w:ascii="Arial"/>
                <w:sz w:val="22"/>
              </w:rPr>
            </w:pPr>
            <w:r>
              <w:rPr>
                <w:rFonts w:ascii="Arial"/>
                <w:sz w:val="22"/>
              </w:rPr>
              <w:t>Provide support for facilities and services that are targeted at those experiencing homelessness and/or at risk of homelessness.</w:t>
            </w:r>
          </w:p>
        </w:tc>
      </w:tr>
      <w:tr>
        <w:trPr>
          <w:trHeight w:val="1940" w:hRule="atLeast"/>
        </w:trPr>
        <w:tc>
          <w:tcPr>
            <w:tcW w:w="1624" w:type="dxa"/>
          </w:tcPr>
          <w:p>
            <w:pPr>
              <w:pStyle w:val="TableParagraph"/>
              <w:spacing w:line="276" w:lineRule="auto"/>
              <w:ind w:left="112" w:right="638"/>
              <w:jc w:val="both"/>
              <w:rPr>
                <w:rFonts w:ascii="Arial"/>
                <w:sz w:val="22"/>
              </w:rPr>
            </w:pPr>
            <w:r>
              <w:rPr>
                <w:rFonts w:ascii="Arial"/>
                <w:sz w:val="22"/>
              </w:rPr>
              <w:t>Basis for Relative Priority</w:t>
            </w:r>
          </w:p>
        </w:tc>
        <w:tc>
          <w:tcPr>
            <w:tcW w:w="7726" w:type="dxa"/>
          </w:tcPr>
          <w:p>
            <w:pPr>
              <w:pStyle w:val="TableParagraph"/>
              <w:spacing w:line="276" w:lineRule="auto"/>
              <w:ind w:left="112" w:right="326"/>
              <w:rPr>
                <w:rFonts w:ascii="Arial"/>
                <w:sz w:val="22"/>
              </w:rPr>
            </w:pPr>
            <w:r>
              <w:rPr>
                <w:rFonts w:ascii="Arial"/>
                <w:sz w:val="22"/>
              </w:rPr>
              <w:t>Housing services for homeless persons, domestic violence victims, and youth transitioning out of foster care was discussed as a priority by stakeholders. These individuals have difficulties getting into stable housing with very few landlords willing to take on formerly homeless or addicted persons as tenants. Domestic violence and youth foster care transition are also major priorities within this category.</w:t>
            </w:r>
          </w:p>
        </w:tc>
      </w:tr>
    </w:tbl>
    <w:p>
      <w:pPr>
        <w:spacing w:line="225" w:lineRule="exact" w:before="0"/>
        <w:ind w:left="220" w:right="0" w:firstLine="0"/>
        <w:jc w:val="left"/>
        <w:rPr>
          <w:rFonts w:ascii="Arial" w:hAnsi="Arial"/>
          <w:b/>
          <w:sz w:val="20"/>
        </w:rPr>
      </w:pPr>
      <w:r>
        <w:rPr>
          <w:rFonts w:ascii="Arial" w:hAnsi="Arial"/>
          <w:b/>
          <w:sz w:val="20"/>
        </w:rPr>
        <w:t>Table 53 – Priority Needs Summary</w:t>
      </w:r>
    </w:p>
    <w:p>
      <w:pPr>
        <w:pStyle w:val="BodyText"/>
        <w:rPr>
          <w:rFonts w:ascii="Arial"/>
          <w:b/>
        </w:rPr>
      </w:pPr>
    </w:p>
    <w:p>
      <w:pPr>
        <w:pStyle w:val="BodyText"/>
        <w:spacing w:before="7"/>
        <w:rPr>
          <w:rFonts w:ascii="Arial"/>
          <w:b/>
        </w:rPr>
      </w:pPr>
    </w:p>
    <w:p>
      <w:pPr>
        <w:pStyle w:val="Heading4"/>
      </w:pPr>
      <w:r>
        <w:rPr/>
        <w:t>Narrative (Optional)</w:t>
      </w:r>
    </w:p>
    <w:p>
      <w:pPr>
        <w:pStyle w:val="BodyText"/>
        <w:spacing w:before="1"/>
        <w:rPr>
          <w:b/>
          <w:sz w:val="20"/>
        </w:rPr>
      </w:pPr>
    </w:p>
    <w:p>
      <w:pPr>
        <w:pStyle w:val="Heading1"/>
      </w:pPr>
      <w:bookmarkStart w:name="_TOC_250017" w:id="5"/>
      <w:bookmarkEnd w:id="5"/>
      <w:r>
        <w:rPr>
          <w:color w:val="0E4661"/>
        </w:rPr>
        <w:t>SP-30 Influence of Market Conditions – 91.215 (b)</w:t>
      </w:r>
    </w:p>
    <w:p>
      <w:pPr>
        <w:spacing w:before="137"/>
        <w:ind w:left="220" w:right="0" w:firstLine="0"/>
        <w:jc w:val="left"/>
        <w:rPr>
          <w:b/>
          <w:sz w:val="24"/>
        </w:rPr>
      </w:pPr>
      <w:r>
        <w:rPr>
          <w:b/>
          <w:sz w:val="24"/>
        </w:rPr>
        <w:t>Influence of Market Conditions</w:t>
      </w:r>
    </w:p>
    <w:p>
      <w:pPr>
        <w:pStyle w:val="BodyText"/>
        <w:spacing w:before="8"/>
        <w:rPr>
          <w:b/>
          <w:sz w:val="19"/>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30"/>
        <w:gridCol w:w="7212"/>
      </w:tblGrid>
      <w:tr>
        <w:trPr>
          <w:trHeight w:val="776" w:hRule="atLeast"/>
        </w:trPr>
        <w:tc>
          <w:tcPr>
            <w:tcW w:w="2030" w:type="dxa"/>
          </w:tcPr>
          <w:p>
            <w:pPr>
              <w:pStyle w:val="TableParagraph"/>
              <w:spacing w:line="276" w:lineRule="auto"/>
              <w:ind w:left="285" w:right="255" w:firstLine="177"/>
              <w:rPr>
                <w:rFonts w:ascii="Arial"/>
                <w:b/>
                <w:sz w:val="22"/>
              </w:rPr>
            </w:pPr>
            <w:r>
              <w:rPr>
                <w:rFonts w:ascii="Arial"/>
                <w:b/>
                <w:sz w:val="22"/>
              </w:rPr>
              <w:t>Affordable Housing Type</w:t>
            </w:r>
          </w:p>
        </w:tc>
        <w:tc>
          <w:tcPr>
            <w:tcW w:w="7212" w:type="dxa"/>
          </w:tcPr>
          <w:p>
            <w:pPr>
              <w:pStyle w:val="TableParagraph"/>
              <w:spacing w:line="276" w:lineRule="auto"/>
              <w:ind w:left="1366" w:right="1337" w:firstLine="72"/>
              <w:rPr>
                <w:rFonts w:ascii="Arial"/>
                <w:b/>
                <w:sz w:val="22"/>
              </w:rPr>
            </w:pPr>
            <w:r>
              <w:rPr>
                <w:rFonts w:ascii="Arial"/>
                <w:b/>
                <w:sz w:val="22"/>
              </w:rPr>
              <w:t>Market Characteristics that will influence the use of funds available for housing type</w:t>
            </w:r>
          </w:p>
        </w:tc>
      </w:tr>
      <w:tr>
        <w:trPr>
          <w:trHeight w:val="1067" w:hRule="atLeast"/>
        </w:trPr>
        <w:tc>
          <w:tcPr>
            <w:tcW w:w="2030" w:type="dxa"/>
          </w:tcPr>
          <w:p>
            <w:pPr>
              <w:pStyle w:val="TableParagraph"/>
              <w:spacing w:line="276" w:lineRule="auto"/>
              <w:ind w:left="112" w:right="122"/>
              <w:rPr>
                <w:rFonts w:ascii="Arial"/>
                <w:sz w:val="22"/>
              </w:rPr>
            </w:pPr>
            <w:r>
              <w:rPr>
                <w:rFonts w:ascii="Arial"/>
                <w:sz w:val="22"/>
              </w:rPr>
              <w:t>Tenant Based Rental Assistance (TBRA)</w:t>
            </w:r>
          </w:p>
        </w:tc>
        <w:tc>
          <w:tcPr>
            <w:tcW w:w="7212" w:type="dxa"/>
          </w:tcPr>
          <w:p>
            <w:pPr>
              <w:pStyle w:val="TableParagraph"/>
              <w:spacing w:line="276" w:lineRule="auto"/>
              <w:ind w:left="112" w:right="143"/>
              <w:rPr>
                <w:rFonts w:ascii="Arial"/>
                <w:sz w:val="22"/>
              </w:rPr>
            </w:pPr>
            <w:r>
              <w:rPr>
                <w:rFonts w:ascii="Arial"/>
                <w:sz w:val="22"/>
              </w:rPr>
              <w:t>Cost burden is the dominant housing issue in Bloomington. TBRA would facilitate housing individuals on the Housing Choice Voucher list, especially for individuals facing difficult circumstances.</w:t>
            </w:r>
          </w:p>
        </w:tc>
      </w:tr>
    </w:tbl>
    <w:p>
      <w:pPr>
        <w:spacing w:after="0" w:line="276" w:lineRule="auto"/>
        <w:rPr>
          <w:rFonts w:ascii="Arial"/>
          <w:sz w:val="22"/>
        </w:rPr>
        <w:sectPr>
          <w:headerReference w:type="default" r:id="rId111"/>
          <w:footerReference w:type="default" r:id="rId112"/>
          <w:pgSz w:w="12240" w:h="15840"/>
          <w:pgMar w:header="0" w:footer="1260" w:top="1440" w:bottom="1460" w:left="1220" w:right="100"/>
          <w:pgNumType w:start="99"/>
        </w:sect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30"/>
        <w:gridCol w:w="7212"/>
      </w:tblGrid>
      <w:tr>
        <w:trPr>
          <w:trHeight w:val="1358" w:hRule="atLeast"/>
        </w:trPr>
        <w:tc>
          <w:tcPr>
            <w:tcW w:w="2030" w:type="dxa"/>
          </w:tcPr>
          <w:p>
            <w:pPr>
              <w:pStyle w:val="TableParagraph"/>
              <w:spacing w:line="276" w:lineRule="auto"/>
              <w:ind w:left="112" w:right="122"/>
              <w:rPr>
                <w:rFonts w:ascii="Arial"/>
                <w:sz w:val="22"/>
              </w:rPr>
            </w:pPr>
            <w:r>
              <w:rPr>
                <w:rFonts w:ascii="Arial"/>
                <w:sz w:val="22"/>
              </w:rPr>
              <w:t>TBRA for Non- Homeless Special Needs</w:t>
            </w:r>
          </w:p>
        </w:tc>
        <w:tc>
          <w:tcPr>
            <w:tcW w:w="7212" w:type="dxa"/>
          </w:tcPr>
          <w:p>
            <w:pPr>
              <w:pStyle w:val="TableParagraph"/>
              <w:spacing w:line="276" w:lineRule="auto"/>
              <w:ind w:left="112" w:right="119"/>
              <w:rPr>
                <w:rFonts w:ascii="Arial"/>
                <w:sz w:val="22"/>
              </w:rPr>
            </w:pPr>
            <w:r>
              <w:rPr>
                <w:rFonts w:ascii="Arial"/>
                <w:sz w:val="22"/>
              </w:rPr>
              <w:t>According to stakeholder input, there is a need to provide safe and accessible housing and remove barriers for elderly and non-elderly persons with disabilities, victims of domestic violence, and persons with substance abuse and mental health diagnoses.</w:t>
            </w:r>
          </w:p>
        </w:tc>
      </w:tr>
      <w:tr>
        <w:trPr>
          <w:trHeight w:val="1358" w:hRule="atLeast"/>
        </w:trPr>
        <w:tc>
          <w:tcPr>
            <w:tcW w:w="2030" w:type="dxa"/>
          </w:tcPr>
          <w:p>
            <w:pPr>
              <w:pStyle w:val="TableParagraph"/>
              <w:spacing w:line="276" w:lineRule="auto"/>
              <w:ind w:left="112" w:right="831"/>
              <w:rPr>
                <w:rFonts w:ascii="Arial"/>
                <w:sz w:val="22"/>
              </w:rPr>
            </w:pPr>
            <w:r>
              <w:rPr>
                <w:rFonts w:ascii="Arial"/>
                <w:sz w:val="22"/>
              </w:rPr>
              <w:t>New Unit Production</w:t>
            </w:r>
          </w:p>
        </w:tc>
        <w:tc>
          <w:tcPr>
            <w:tcW w:w="7212" w:type="dxa"/>
          </w:tcPr>
          <w:p>
            <w:pPr>
              <w:pStyle w:val="TableParagraph"/>
              <w:spacing w:line="276" w:lineRule="auto"/>
              <w:ind w:left="112" w:right="155"/>
              <w:rPr>
                <w:rFonts w:ascii="Arial" w:hAnsi="Arial"/>
                <w:sz w:val="22"/>
              </w:rPr>
            </w:pPr>
            <w:r>
              <w:rPr>
                <w:rFonts w:ascii="Arial" w:hAnsi="Arial"/>
                <w:sz w:val="22"/>
              </w:rPr>
              <w:t>New unit production would help alleviate cost burden and lack of inventory, Bloomington’s greatest housing issue, by increasing housing supply. Additional units would also mitigate competition between the City’s student population and low- and moderate-income households.</w:t>
            </w:r>
          </w:p>
        </w:tc>
      </w:tr>
      <w:tr>
        <w:trPr>
          <w:trHeight w:val="3104" w:hRule="atLeast"/>
        </w:trPr>
        <w:tc>
          <w:tcPr>
            <w:tcW w:w="2030" w:type="dxa"/>
          </w:tcPr>
          <w:p>
            <w:pPr>
              <w:pStyle w:val="TableParagraph"/>
              <w:spacing w:line="245" w:lineRule="exact"/>
              <w:ind w:left="112"/>
              <w:rPr>
                <w:rFonts w:ascii="Arial"/>
                <w:sz w:val="22"/>
              </w:rPr>
            </w:pPr>
            <w:r>
              <w:rPr>
                <w:rFonts w:ascii="Arial"/>
                <w:sz w:val="22"/>
              </w:rPr>
              <w:t>Rehabilitation</w:t>
            </w:r>
          </w:p>
        </w:tc>
        <w:tc>
          <w:tcPr>
            <w:tcW w:w="7212" w:type="dxa"/>
          </w:tcPr>
          <w:p>
            <w:pPr>
              <w:pStyle w:val="TableParagraph"/>
              <w:spacing w:line="276" w:lineRule="auto"/>
              <w:ind w:left="112" w:right="174"/>
              <w:rPr>
                <w:rFonts w:ascii="Arial"/>
                <w:sz w:val="22"/>
              </w:rPr>
            </w:pPr>
            <w:r>
              <w:rPr>
                <w:rFonts w:ascii="Arial"/>
                <w:sz w:val="22"/>
              </w:rPr>
              <w:t>Maintenance and operation of housing are major factors contributing to cost-burden that can be mitigated through rehabilitation. The costs to rehabilitate units in distressed areas are the same as in an affluent area. The difference in neighborhood rehabilitation projects is the return on investment between the two and can be zero or negative for improvements made to a property located in a distressed housing market, thus making it economically unattractive for private investors </w:t>
            </w:r>
            <w:r>
              <w:rPr>
                <w:rFonts w:ascii="Arial"/>
                <w:spacing w:val="-9"/>
                <w:sz w:val="22"/>
              </w:rPr>
              <w:t>to </w:t>
            </w:r>
            <w:r>
              <w:rPr>
                <w:rFonts w:ascii="Arial"/>
                <w:sz w:val="22"/>
              </w:rPr>
              <w:t>rehabilitate houses in impacted areas. Incentives for private developers to preserve existing vacant units in distressed areas could alleviate this challenge.</w:t>
            </w:r>
          </w:p>
        </w:tc>
      </w:tr>
      <w:tr>
        <w:trPr>
          <w:trHeight w:val="2231" w:hRule="atLeast"/>
        </w:trPr>
        <w:tc>
          <w:tcPr>
            <w:tcW w:w="2030" w:type="dxa"/>
          </w:tcPr>
          <w:p>
            <w:pPr>
              <w:pStyle w:val="TableParagraph"/>
              <w:spacing w:line="276" w:lineRule="auto"/>
              <w:ind w:left="112" w:right="672"/>
              <w:rPr>
                <w:rFonts w:ascii="Arial"/>
                <w:sz w:val="22"/>
              </w:rPr>
            </w:pPr>
            <w:r>
              <w:rPr>
                <w:rFonts w:ascii="Arial"/>
                <w:sz w:val="22"/>
              </w:rPr>
              <w:t>Acquisition, including preservation</w:t>
            </w:r>
          </w:p>
        </w:tc>
        <w:tc>
          <w:tcPr>
            <w:tcW w:w="7212" w:type="dxa"/>
          </w:tcPr>
          <w:p>
            <w:pPr>
              <w:pStyle w:val="TableParagraph"/>
              <w:spacing w:line="276" w:lineRule="auto"/>
              <w:ind w:left="112" w:right="350"/>
              <w:rPr>
                <w:rFonts w:ascii="Arial"/>
                <w:sz w:val="22"/>
              </w:rPr>
            </w:pPr>
            <w:r>
              <w:rPr>
                <w:rFonts w:ascii="Arial"/>
                <w:sz w:val="22"/>
              </w:rPr>
              <w:t>Efforts to acquire and rehabilitate units for sale would provide affordable homeownership opportunities for City residents. As subsidized units reach the end of the period of affordability, there is a need to preserve these units as there is a high level of cost burden among low- and moderate-income households. The City of Bloomington will help in the acquisition of appropriate land for development when opportunities arise.</w:t>
            </w:r>
          </w:p>
        </w:tc>
      </w:tr>
    </w:tbl>
    <w:p>
      <w:pPr>
        <w:spacing w:line="225" w:lineRule="exact" w:before="0"/>
        <w:ind w:left="220" w:right="0" w:firstLine="0"/>
        <w:jc w:val="left"/>
        <w:rPr>
          <w:rFonts w:ascii="Arial" w:hAnsi="Arial"/>
          <w:b/>
          <w:sz w:val="20"/>
        </w:rPr>
      </w:pPr>
      <w:r>
        <w:rPr>
          <w:rFonts w:ascii="Arial" w:hAnsi="Arial"/>
          <w:b/>
          <w:sz w:val="20"/>
        </w:rPr>
        <w:t>Table 54 – Influence of Market Conditions</w:t>
      </w:r>
    </w:p>
    <w:p>
      <w:pPr>
        <w:spacing w:after="0" w:line="225" w:lineRule="exact"/>
        <w:jc w:val="left"/>
        <w:rPr>
          <w:rFonts w:ascii="Arial" w:hAnsi="Arial"/>
          <w:sz w:val="20"/>
        </w:rPr>
        <w:sectPr>
          <w:headerReference w:type="default" r:id="rId113"/>
          <w:footerReference w:type="default" r:id="rId114"/>
          <w:pgSz w:w="12240" w:h="15840"/>
          <w:pgMar w:header="0" w:footer="1340" w:top="1440" w:bottom="1540" w:left="1220" w:right="100"/>
          <w:pgNumType w:start="100"/>
        </w:sectPr>
      </w:pPr>
    </w:p>
    <w:p>
      <w:pPr>
        <w:pStyle w:val="Heading1"/>
        <w:spacing w:before="106"/>
      </w:pPr>
      <w:bookmarkStart w:name="_TOC_250016" w:id="6"/>
      <w:bookmarkEnd w:id="6"/>
      <w:r>
        <w:rPr>
          <w:color w:val="0E4661"/>
        </w:rPr>
        <w:t>SP-35 Anticipated Resources - 91.215(a)(4), 91.220(c)(1,2)</w:t>
      </w:r>
    </w:p>
    <w:p>
      <w:pPr>
        <w:pStyle w:val="Heading4"/>
        <w:spacing w:before="137"/>
      </w:pPr>
      <w:r>
        <w:rPr/>
        <w:t>Introduction</w:t>
      </w:r>
    </w:p>
    <w:p>
      <w:pPr>
        <w:pStyle w:val="Heading5"/>
        <w:spacing w:line="276" w:lineRule="auto" w:before="156"/>
        <w:ind w:left="220" w:right="2019" w:firstLine="0"/>
      </w:pPr>
      <w:r>
        <w:rPr/>
        <w:t>Bloomington anticipates receiving the following federal resources for FY 2025; estimated projections for five years follow in parentheses:</w:t>
      </w:r>
    </w:p>
    <w:p>
      <w:pPr>
        <w:pStyle w:val="ListParagraph"/>
        <w:numPr>
          <w:ilvl w:val="0"/>
          <w:numId w:val="14"/>
        </w:numPr>
        <w:tabs>
          <w:tab w:pos="939" w:val="left" w:leader="none"/>
          <w:tab w:pos="940" w:val="left" w:leader="none"/>
        </w:tabs>
        <w:spacing w:line="240" w:lineRule="auto" w:before="200" w:after="0"/>
        <w:ind w:left="940" w:right="0" w:hanging="360"/>
        <w:jc w:val="left"/>
        <w:rPr>
          <w:sz w:val="24"/>
        </w:rPr>
      </w:pPr>
      <w:r>
        <w:rPr>
          <w:sz w:val="24"/>
        </w:rPr>
        <w:t>CDBG $800,000 ($4,000,000)</w:t>
      </w:r>
    </w:p>
    <w:p>
      <w:pPr>
        <w:pStyle w:val="ListParagraph"/>
        <w:numPr>
          <w:ilvl w:val="0"/>
          <w:numId w:val="14"/>
        </w:numPr>
        <w:tabs>
          <w:tab w:pos="939" w:val="left" w:leader="none"/>
          <w:tab w:pos="940" w:val="left" w:leader="none"/>
        </w:tabs>
        <w:spacing w:line="240" w:lineRule="auto" w:before="44" w:after="0"/>
        <w:ind w:left="940" w:right="0" w:hanging="360"/>
        <w:jc w:val="left"/>
        <w:rPr>
          <w:sz w:val="24"/>
        </w:rPr>
      </w:pPr>
      <w:r>
        <w:rPr>
          <w:sz w:val="24"/>
        </w:rPr>
        <w:t>HOME $565,000 ($2,825,000)</w:t>
      </w:r>
    </w:p>
    <w:p>
      <w:pPr>
        <w:pStyle w:val="BodyText"/>
        <w:spacing w:before="12"/>
        <w:rPr>
          <w:sz w:val="19"/>
        </w:rPr>
      </w:pPr>
    </w:p>
    <w:p>
      <w:pPr>
        <w:spacing w:before="0"/>
        <w:ind w:left="220" w:right="0" w:firstLine="0"/>
        <w:jc w:val="left"/>
        <w:rPr>
          <w:b/>
          <w:sz w:val="24"/>
        </w:rPr>
      </w:pPr>
      <w:r>
        <w:rPr>
          <w:b/>
          <w:sz w:val="24"/>
        </w:rPr>
        <w:t>Anticipated Resources</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9"/>
        <w:gridCol w:w="962"/>
        <w:gridCol w:w="1513"/>
        <w:gridCol w:w="1134"/>
        <w:gridCol w:w="929"/>
        <w:gridCol w:w="1115"/>
        <w:gridCol w:w="1134"/>
        <w:gridCol w:w="1318"/>
        <w:gridCol w:w="1537"/>
      </w:tblGrid>
      <w:tr>
        <w:trPr>
          <w:trHeight w:val="239" w:hRule="atLeast"/>
        </w:trPr>
        <w:tc>
          <w:tcPr>
            <w:tcW w:w="929" w:type="dxa"/>
            <w:vMerge w:val="restart"/>
          </w:tcPr>
          <w:p>
            <w:pPr>
              <w:pStyle w:val="TableParagraph"/>
              <w:spacing w:before="1"/>
              <w:ind w:left="380" w:right="158" w:hanging="194"/>
              <w:rPr>
                <w:b/>
                <w:sz w:val="20"/>
              </w:rPr>
            </w:pPr>
            <w:r>
              <w:rPr>
                <w:b/>
                <w:sz w:val="20"/>
              </w:rPr>
              <w:t>Progra m</w:t>
            </w:r>
          </w:p>
        </w:tc>
        <w:tc>
          <w:tcPr>
            <w:tcW w:w="962" w:type="dxa"/>
            <w:vMerge w:val="restart"/>
          </w:tcPr>
          <w:p>
            <w:pPr>
              <w:pStyle w:val="TableParagraph"/>
              <w:spacing w:before="1"/>
              <w:ind w:left="123" w:right="94" w:firstLine="72"/>
              <w:rPr>
                <w:b/>
                <w:sz w:val="20"/>
              </w:rPr>
            </w:pPr>
            <w:r>
              <w:rPr>
                <w:b/>
                <w:sz w:val="20"/>
              </w:rPr>
              <w:t>Source of Funds</w:t>
            </w:r>
          </w:p>
        </w:tc>
        <w:tc>
          <w:tcPr>
            <w:tcW w:w="1513" w:type="dxa"/>
            <w:vMerge w:val="restart"/>
          </w:tcPr>
          <w:p>
            <w:pPr>
              <w:pStyle w:val="TableParagraph"/>
              <w:spacing w:before="1"/>
              <w:ind w:left="181"/>
              <w:rPr>
                <w:b/>
                <w:sz w:val="20"/>
              </w:rPr>
            </w:pPr>
            <w:r>
              <w:rPr>
                <w:b/>
                <w:sz w:val="20"/>
              </w:rPr>
              <w:t>Uses of Funds</w:t>
            </w:r>
          </w:p>
        </w:tc>
        <w:tc>
          <w:tcPr>
            <w:tcW w:w="4312" w:type="dxa"/>
            <w:gridSpan w:val="4"/>
          </w:tcPr>
          <w:p>
            <w:pPr>
              <w:pStyle w:val="TableParagraph"/>
              <w:spacing w:line="218" w:lineRule="exact" w:before="1"/>
              <w:ind w:left="723"/>
              <w:rPr>
                <w:b/>
                <w:sz w:val="20"/>
              </w:rPr>
            </w:pPr>
            <w:r>
              <w:rPr>
                <w:b/>
                <w:sz w:val="20"/>
              </w:rPr>
              <w:t>Expected Amount Available Year 1</w:t>
            </w:r>
          </w:p>
        </w:tc>
        <w:tc>
          <w:tcPr>
            <w:tcW w:w="1318" w:type="dxa"/>
            <w:vMerge w:val="restart"/>
          </w:tcPr>
          <w:p>
            <w:pPr>
              <w:pStyle w:val="TableParagraph"/>
              <w:spacing w:before="1"/>
              <w:ind w:left="184" w:right="189" w:firstLine="16"/>
              <w:jc w:val="center"/>
              <w:rPr>
                <w:b/>
                <w:sz w:val="20"/>
              </w:rPr>
            </w:pPr>
            <w:r>
              <w:rPr>
                <w:b/>
                <w:sz w:val="20"/>
              </w:rPr>
              <w:t>Expected Amount Available Remainder of ConPlan</w:t>
            </w:r>
          </w:p>
          <w:p>
            <w:pPr>
              <w:pStyle w:val="TableParagraph"/>
              <w:spacing w:line="213" w:lineRule="exact"/>
              <w:ind w:left="9"/>
              <w:jc w:val="center"/>
              <w:rPr>
                <w:b/>
                <w:sz w:val="20"/>
              </w:rPr>
            </w:pPr>
            <w:r>
              <w:rPr>
                <w:b/>
                <w:sz w:val="20"/>
              </w:rPr>
              <w:t>$</w:t>
            </w:r>
          </w:p>
        </w:tc>
        <w:tc>
          <w:tcPr>
            <w:tcW w:w="1537" w:type="dxa"/>
            <w:vMerge w:val="restart"/>
          </w:tcPr>
          <w:p>
            <w:pPr>
              <w:pStyle w:val="TableParagraph"/>
              <w:spacing w:before="1"/>
              <w:ind w:left="290" w:right="260" w:firstLine="82"/>
              <w:rPr>
                <w:b/>
                <w:sz w:val="20"/>
              </w:rPr>
            </w:pPr>
            <w:r>
              <w:rPr>
                <w:b/>
                <w:sz w:val="20"/>
              </w:rPr>
              <w:t>Narrative Description</w:t>
            </w:r>
          </w:p>
        </w:tc>
      </w:tr>
      <w:tr>
        <w:trPr>
          <w:trHeight w:val="1200" w:hRule="atLeast"/>
        </w:trPr>
        <w:tc>
          <w:tcPr>
            <w:tcW w:w="929" w:type="dxa"/>
            <w:vMerge/>
            <w:tcBorders>
              <w:top w:val="nil"/>
            </w:tcBorders>
          </w:tcPr>
          <w:p>
            <w:pPr>
              <w:rPr>
                <w:sz w:val="2"/>
                <w:szCs w:val="2"/>
              </w:rPr>
            </w:pPr>
          </w:p>
        </w:tc>
        <w:tc>
          <w:tcPr>
            <w:tcW w:w="962" w:type="dxa"/>
            <w:vMerge/>
            <w:tcBorders>
              <w:top w:val="nil"/>
            </w:tcBorders>
          </w:tcPr>
          <w:p>
            <w:pPr>
              <w:rPr>
                <w:sz w:val="2"/>
                <w:szCs w:val="2"/>
              </w:rPr>
            </w:pPr>
          </w:p>
        </w:tc>
        <w:tc>
          <w:tcPr>
            <w:tcW w:w="1513" w:type="dxa"/>
            <w:vMerge/>
            <w:tcBorders>
              <w:top w:val="nil"/>
            </w:tcBorders>
          </w:tcPr>
          <w:p>
            <w:pPr>
              <w:rPr>
                <w:sz w:val="2"/>
                <w:szCs w:val="2"/>
              </w:rPr>
            </w:pPr>
          </w:p>
        </w:tc>
        <w:tc>
          <w:tcPr>
            <w:tcW w:w="1134" w:type="dxa"/>
          </w:tcPr>
          <w:p>
            <w:pPr>
              <w:pStyle w:val="TableParagraph"/>
              <w:spacing w:before="1"/>
              <w:ind w:left="115" w:right="103"/>
              <w:jc w:val="center"/>
              <w:rPr>
                <w:b/>
                <w:sz w:val="20"/>
              </w:rPr>
            </w:pPr>
            <w:r>
              <w:rPr>
                <w:b/>
                <w:sz w:val="20"/>
              </w:rPr>
              <w:t>Annual Allocation:</w:t>
            </w:r>
          </w:p>
          <w:p>
            <w:pPr>
              <w:pStyle w:val="TableParagraph"/>
              <w:ind w:left="10"/>
              <w:jc w:val="center"/>
              <w:rPr>
                <w:b/>
                <w:sz w:val="20"/>
              </w:rPr>
            </w:pPr>
            <w:r>
              <w:rPr>
                <w:b/>
                <w:sz w:val="20"/>
              </w:rPr>
              <w:t>$</w:t>
            </w:r>
          </w:p>
        </w:tc>
        <w:tc>
          <w:tcPr>
            <w:tcW w:w="929" w:type="dxa"/>
          </w:tcPr>
          <w:p>
            <w:pPr>
              <w:pStyle w:val="TableParagraph"/>
              <w:spacing w:before="1"/>
              <w:ind w:left="126" w:right="114"/>
              <w:jc w:val="center"/>
              <w:rPr>
                <w:b/>
                <w:sz w:val="20"/>
              </w:rPr>
            </w:pPr>
            <w:r>
              <w:rPr>
                <w:b/>
                <w:sz w:val="20"/>
              </w:rPr>
              <w:t>Progra m   Income:</w:t>
            </w:r>
          </w:p>
          <w:p>
            <w:pPr>
              <w:pStyle w:val="TableParagraph"/>
              <w:ind w:left="9"/>
              <w:jc w:val="center"/>
              <w:rPr>
                <w:b/>
                <w:sz w:val="20"/>
              </w:rPr>
            </w:pPr>
            <w:r>
              <w:rPr>
                <w:b/>
                <w:sz w:val="20"/>
              </w:rPr>
              <w:t>$</w:t>
            </w:r>
          </w:p>
        </w:tc>
        <w:tc>
          <w:tcPr>
            <w:tcW w:w="1115" w:type="dxa"/>
          </w:tcPr>
          <w:p>
            <w:pPr>
              <w:pStyle w:val="TableParagraph"/>
              <w:spacing w:before="1"/>
              <w:ind w:left="133" w:right="121"/>
              <w:jc w:val="center"/>
              <w:rPr>
                <w:b/>
                <w:sz w:val="20"/>
              </w:rPr>
            </w:pPr>
            <w:r>
              <w:rPr>
                <w:b/>
                <w:sz w:val="20"/>
              </w:rPr>
              <w:t>Prior Year Resources</w:t>
            </w:r>
          </w:p>
          <w:p>
            <w:pPr>
              <w:pStyle w:val="TableParagraph"/>
              <w:ind w:left="131" w:right="121"/>
              <w:jc w:val="center"/>
              <w:rPr>
                <w:b/>
                <w:sz w:val="20"/>
              </w:rPr>
            </w:pPr>
            <w:r>
              <w:rPr>
                <w:b/>
                <w:sz w:val="20"/>
              </w:rPr>
              <w:t>: $</w:t>
            </w:r>
          </w:p>
        </w:tc>
        <w:tc>
          <w:tcPr>
            <w:tcW w:w="1134" w:type="dxa"/>
          </w:tcPr>
          <w:p>
            <w:pPr>
              <w:pStyle w:val="TableParagraph"/>
              <w:spacing w:before="1"/>
              <w:ind w:left="113" w:right="103"/>
              <w:jc w:val="center"/>
              <w:rPr>
                <w:b/>
                <w:sz w:val="20"/>
              </w:rPr>
            </w:pPr>
            <w:r>
              <w:rPr>
                <w:b/>
                <w:sz w:val="20"/>
              </w:rPr>
              <w:t>Total:</w:t>
            </w:r>
          </w:p>
          <w:p>
            <w:pPr>
              <w:pStyle w:val="TableParagraph"/>
              <w:ind w:left="10"/>
              <w:jc w:val="center"/>
              <w:rPr>
                <w:b/>
                <w:sz w:val="20"/>
              </w:rPr>
            </w:pPr>
            <w:r>
              <w:rPr>
                <w:b/>
                <w:sz w:val="20"/>
              </w:rPr>
              <w:t>$</w:t>
            </w:r>
          </w:p>
        </w:tc>
        <w:tc>
          <w:tcPr>
            <w:tcW w:w="1318" w:type="dxa"/>
            <w:vMerge/>
            <w:tcBorders>
              <w:top w:val="nil"/>
            </w:tcBorders>
          </w:tcPr>
          <w:p>
            <w:pPr>
              <w:rPr>
                <w:sz w:val="2"/>
                <w:szCs w:val="2"/>
              </w:rPr>
            </w:pPr>
          </w:p>
        </w:tc>
        <w:tc>
          <w:tcPr>
            <w:tcW w:w="1537" w:type="dxa"/>
            <w:vMerge/>
            <w:tcBorders>
              <w:top w:val="nil"/>
            </w:tcBorders>
          </w:tcPr>
          <w:p>
            <w:pPr>
              <w:rPr>
                <w:sz w:val="2"/>
                <w:szCs w:val="2"/>
              </w:rPr>
            </w:pPr>
          </w:p>
        </w:tc>
      </w:tr>
      <w:tr>
        <w:trPr>
          <w:trHeight w:val="556" w:hRule="atLeast"/>
        </w:trPr>
        <w:tc>
          <w:tcPr>
            <w:tcW w:w="929" w:type="dxa"/>
            <w:tcBorders>
              <w:bottom w:val="nil"/>
            </w:tcBorders>
          </w:tcPr>
          <w:p>
            <w:pPr>
              <w:pStyle w:val="TableParagraph"/>
              <w:spacing w:line="250" w:lineRule="exact"/>
              <w:ind w:left="111" w:right="102"/>
              <w:jc w:val="center"/>
              <w:rPr>
                <w:rFonts w:ascii="Arial"/>
                <w:sz w:val="22"/>
              </w:rPr>
            </w:pPr>
            <w:r>
              <w:rPr>
                <w:rFonts w:ascii="Arial"/>
                <w:sz w:val="22"/>
              </w:rPr>
              <w:t>CDBG</w:t>
            </w:r>
          </w:p>
        </w:tc>
        <w:tc>
          <w:tcPr>
            <w:tcW w:w="962" w:type="dxa"/>
            <w:tcBorders>
              <w:bottom w:val="nil"/>
            </w:tcBorders>
          </w:tcPr>
          <w:p>
            <w:pPr>
              <w:pStyle w:val="TableParagraph"/>
              <w:ind w:left="454" w:right="100" w:hanging="325"/>
              <w:rPr>
                <w:rFonts w:ascii="Arial"/>
                <w:sz w:val="22"/>
              </w:rPr>
            </w:pPr>
            <w:r>
              <w:rPr>
                <w:rFonts w:ascii="Arial"/>
                <w:sz w:val="22"/>
              </w:rPr>
              <w:t>Federa l</w:t>
            </w:r>
          </w:p>
        </w:tc>
        <w:tc>
          <w:tcPr>
            <w:tcW w:w="1513" w:type="dxa"/>
            <w:tcBorders>
              <w:bottom w:val="nil"/>
            </w:tcBorders>
          </w:tcPr>
          <w:p>
            <w:pPr>
              <w:pStyle w:val="TableParagraph"/>
              <w:spacing w:line="250" w:lineRule="exact"/>
              <w:ind w:left="222"/>
              <w:rPr>
                <w:rFonts w:ascii="Arial"/>
                <w:sz w:val="22"/>
              </w:rPr>
            </w:pPr>
            <w:r>
              <w:rPr>
                <w:rFonts w:ascii="Arial"/>
                <w:sz w:val="22"/>
              </w:rPr>
              <w:t>Acquisition</w:t>
            </w:r>
          </w:p>
          <w:p>
            <w:pPr>
              <w:pStyle w:val="TableParagraph"/>
              <w:spacing w:line="248" w:lineRule="exact" w:before="38"/>
              <w:ind w:left="338"/>
              <w:rPr>
                <w:rFonts w:ascii="Arial"/>
                <w:sz w:val="22"/>
              </w:rPr>
            </w:pPr>
            <w:r>
              <w:rPr>
                <w:rFonts w:ascii="Arial"/>
                <w:sz w:val="22"/>
              </w:rPr>
              <w:t>Admin &amp;</w:t>
            </w:r>
          </w:p>
        </w:tc>
        <w:tc>
          <w:tcPr>
            <w:tcW w:w="1134" w:type="dxa"/>
            <w:tcBorders>
              <w:bottom w:val="nil"/>
            </w:tcBorders>
          </w:tcPr>
          <w:p>
            <w:pPr>
              <w:pStyle w:val="TableParagraph"/>
              <w:ind w:left="503" w:right="137" w:hanging="337"/>
              <w:rPr>
                <w:rFonts w:ascii="Arial"/>
                <w:sz w:val="22"/>
              </w:rPr>
            </w:pPr>
            <w:r>
              <w:rPr>
                <w:rFonts w:ascii="Arial"/>
                <w:sz w:val="22"/>
              </w:rPr>
              <w:t>$778,29 3</w:t>
            </w:r>
          </w:p>
        </w:tc>
        <w:tc>
          <w:tcPr>
            <w:tcW w:w="929" w:type="dxa"/>
            <w:tcBorders>
              <w:bottom w:val="nil"/>
            </w:tcBorders>
          </w:tcPr>
          <w:p>
            <w:pPr>
              <w:pStyle w:val="TableParagraph"/>
              <w:spacing w:line="250" w:lineRule="exact"/>
              <w:ind w:left="9"/>
              <w:jc w:val="center"/>
              <w:rPr>
                <w:rFonts w:ascii="Arial"/>
                <w:sz w:val="22"/>
              </w:rPr>
            </w:pPr>
            <w:r>
              <w:rPr>
                <w:rFonts w:ascii="Arial"/>
                <w:sz w:val="22"/>
              </w:rPr>
              <w:t>0</w:t>
            </w:r>
          </w:p>
        </w:tc>
        <w:tc>
          <w:tcPr>
            <w:tcW w:w="1115" w:type="dxa"/>
            <w:tcBorders>
              <w:bottom w:val="nil"/>
            </w:tcBorders>
          </w:tcPr>
          <w:p>
            <w:pPr>
              <w:pStyle w:val="TableParagraph"/>
              <w:ind w:left="340" w:right="128" w:hanging="184"/>
              <w:rPr>
                <w:rFonts w:ascii="Arial"/>
                <w:sz w:val="22"/>
              </w:rPr>
            </w:pPr>
            <w:r>
              <w:rPr>
                <w:rFonts w:ascii="Arial"/>
                <w:sz w:val="22"/>
              </w:rPr>
              <w:t>$111,34 2.50</w:t>
            </w:r>
          </w:p>
        </w:tc>
        <w:tc>
          <w:tcPr>
            <w:tcW w:w="1134" w:type="dxa"/>
            <w:tcBorders>
              <w:bottom w:val="nil"/>
            </w:tcBorders>
          </w:tcPr>
          <w:p>
            <w:pPr>
              <w:pStyle w:val="TableParagraph"/>
              <w:ind w:left="350" w:right="137" w:hanging="184"/>
              <w:rPr>
                <w:rFonts w:ascii="Arial"/>
                <w:sz w:val="22"/>
              </w:rPr>
            </w:pPr>
            <w:r>
              <w:rPr>
                <w:rFonts w:ascii="Arial"/>
                <w:sz w:val="22"/>
              </w:rPr>
              <w:t>$889,63 5.50</w:t>
            </w:r>
          </w:p>
        </w:tc>
        <w:tc>
          <w:tcPr>
            <w:tcW w:w="1318" w:type="dxa"/>
            <w:tcBorders>
              <w:bottom w:val="nil"/>
            </w:tcBorders>
          </w:tcPr>
          <w:p>
            <w:pPr>
              <w:pStyle w:val="TableParagraph"/>
              <w:ind w:left="595" w:right="138" w:hanging="429"/>
              <w:rPr>
                <w:rFonts w:ascii="Arial"/>
                <w:sz w:val="22"/>
              </w:rPr>
            </w:pPr>
            <w:r>
              <w:rPr>
                <w:rFonts w:ascii="Arial"/>
                <w:sz w:val="22"/>
              </w:rPr>
              <w:t>$3,200,00 0</w:t>
            </w:r>
          </w:p>
        </w:tc>
        <w:tc>
          <w:tcPr>
            <w:tcW w:w="1537" w:type="dxa"/>
            <w:vMerge w:val="restart"/>
          </w:tcPr>
          <w:p>
            <w:pPr>
              <w:pStyle w:val="TableParagraph"/>
              <w:ind w:left="148" w:right="136"/>
              <w:jc w:val="center"/>
              <w:rPr>
                <w:rFonts w:ascii="Arial"/>
                <w:sz w:val="22"/>
              </w:rPr>
            </w:pPr>
            <w:r>
              <w:rPr>
                <w:rFonts w:ascii="Arial"/>
                <w:sz w:val="22"/>
              </w:rPr>
              <w:t>The expected amount for the   remainder of the ConPlan is four times the first-year allocation.</w:t>
            </w: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325"/>
              <w:rPr>
                <w:rFonts w:ascii="Arial"/>
                <w:sz w:val="22"/>
              </w:rPr>
            </w:pPr>
            <w:r>
              <w:rPr>
                <w:rFonts w:ascii="Arial"/>
                <w:sz w:val="22"/>
              </w:rPr>
              <w:t>Planning</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503"/>
              <w:rPr>
                <w:rFonts w:ascii="Arial"/>
                <w:sz w:val="22"/>
              </w:rPr>
            </w:pPr>
            <w:r>
              <w:rPr>
                <w:rFonts w:ascii="Arial"/>
                <w:sz w:val="22"/>
              </w:rPr>
              <w:t>Econ</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right="124"/>
              <w:jc w:val="right"/>
              <w:rPr>
                <w:rFonts w:ascii="Arial"/>
                <w:sz w:val="22"/>
              </w:rPr>
            </w:pPr>
            <w:r>
              <w:rPr>
                <w:rFonts w:ascii="Arial"/>
                <w:sz w:val="22"/>
              </w:rPr>
              <w:t>Developmen</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9"/>
              <w:jc w:val="center"/>
              <w:rPr>
                <w:rFonts w:ascii="Arial"/>
                <w:sz w:val="22"/>
              </w:rPr>
            </w:pPr>
            <w:r>
              <w:rPr>
                <w:rFonts w:ascii="Arial"/>
                <w:sz w:val="22"/>
              </w:rPr>
              <w:t>t</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350"/>
              <w:rPr>
                <w:rFonts w:ascii="Arial"/>
                <w:sz w:val="22"/>
              </w:rPr>
            </w:pPr>
            <w:r>
              <w:rPr>
                <w:rFonts w:ascii="Arial"/>
                <w:sz w:val="22"/>
              </w:rPr>
              <w:t>Housing</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454"/>
              <w:rPr>
                <w:rFonts w:ascii="Arial"/>
                <w:sz w:val="22"/>
              </w:rPr>
            </w:pPr>
            <w:r>
              <w:rPr>
                <w:rFonts w:ascii="Arial"/>
                <w:sz w:val="22"/>
              </w:rPr>
              <w:t>Public</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326"/>
              <w:rPr>
                <w:rFonts w:ascii="Arial"/>
                <w:sz w:val="22"/>
              </w:rPr>
            </w:pPr>
            <w:r>
              <w:rPr>
                <w:rFonts w:ascii="Arial"/>
                <w:sz w:val="22"/>
              </w:rPr>
              <w:t>Improve.</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511" w:hRule="atLeast"/>
        </w:trPr>
        <w:tc>
          <w:tcPr>
            <w:tcW w:w="929" w:type="dxa"/>
            <w:tcBorders>
              <w:top w:val="nil"/>
            </w:tcBorders>
          </w:tcPr>
          <w:p>
            <w:pPr>
              <w:pStyle w:val="TableParagraph"/>
              <w:rPr>
                <w:rFonts w:ascii="Times New Roman"/>
                <w:sz w:val="22"/>
              </w:rPr>
            </w:pPr>
          </w:p>
        </w:tc>
        <w:tc>
          <w:tcPr>
            <w:tcW w:w="962" w:type="dxa"/>
            <w:tcBorders>
              <w:top w:val="nil"/>
            </w:tcBorders>
          </w:tcPr>
          <w:p>
            <w:pPr>
              <w:pStyle w:val="TableParagraph"/>
              <w:rPr>
                <w:rFonts w:ascii="Times New Roman"/>
                <w:sz w:val="22"/>
              </w:rPr>
            </w:pPr>
          </w:p>
        </w:tc>
        <w:tc>
          <w:tcPr>
            <w:tcW w:w="1513" w:type="dxa"/>
            <w:tcBorders>
              <w:top w:val="nil"/>
            </w:tcBorders>
          </w:tcPr>
          <w:p>
            <w:pPr>
              <w:pStyle w:val="TableParagraph"/>
              <w:spacing w:line="250" w:lineRule="atLeast" w:before="8"/>
              <w:ind w:left="332" w:right="302" w:firstLine="122"/>
              <w:rPr>
                <w:rFonts w:ascii="Arial"/>
                <w:sz w:val="22"/>
              </w:rPr>
            </w:pPr>
            <w:r>
              <w:rPr>
                <w:rFonts w:ascii="Arial"/>
                <w:sz w:val="22"/>
              </w:rPr>
              <w:t>Public Services</w:t>
            </w:r>
          </w:p>
        </w:tc>
        <w:tc>
          <w:tcPr>
            <w:tcW w:w="1134" w:type="dxa"/>
            <w:tcBorders>
              <w:top w:val="nil"/>
            </w:tcBorders>
          </w:tcPr>
          <w:p>
            <w:pPr>
              <w:pStyle w:val="TableParagraph"/>
              <w:rPr>
                <w:rFonts w:ascii="Times New Roman"/>
                <w:sz w:val="22"/>
              </w:rPr>
            </w:pPr>
          </w:p>
        </w:tc>
        <w:tc>
          <w:tcPr>
            <w:tcW w:w="929" w:type="dxa"/>
            <w:tcBorders>
              <w:top w:val="nil"/>
            </w:tcBorders>
          </w:tcPr>
          <w:p>
            <w:pPr>
              <w:pStyle w:val="TableParagraph"/>
              <w:rPr>
                <w:rFonts w:ascii="Times New Roman"/>
                <w:sz w:val="22"/>
              </w:rPr>
            </w:pPr>
          </w:p>
        </w:tc>
        <w:tc>
          <w:tcPr>
            <w:tcW w:w="1115" w:type="dxa"/>
            <w:tcBorders>
              <w:top w:val="nil"/>
            </w:tcBorders>
          </w:tcPr>
          <w:p>
            <w:pPr>
              <w:pStyle w:val="TableParagraph"/>
              <w:rPr>
                <w:rFonts w:ascii="Times New Roman"/>
                <w:sz w:val="22"/>
              </w:rPr>
            </w:pPr>
          </w:p>
        </w:tc>
        <w:tc>
          <w:tcPr>
            <w:tcW w:w="1134" w:type="dxa"/>
            <w:tcBorders>
              <w:top w:val="nil"/>
            </w:tcBorders>
          </w:tcPr>
          <w:p>
            <w:pPr>
              <w:pStyle w:val="TableParagraph"/>
              <w:rPr>
                <w:rFonts w:ascii="Times New Roman"/>
                <w:sz w:val="22"/>
              </w:rPr>
            </w:pPr>
          </w:p>
        </w:tc>
        <w:tc>
          <w:tcPr>
            <w:tcW w:w="1318" w:type="dxa"/>
            <w:tcBorders>
              <w:top w:val="nil"/>
            </w:tcBorders>
          </w:tcPr>
          <w:p>
            <w:pPr>
              <w:pStyle w:val="TableParagraph"/>
              <w:rPr>
                <w:rFonts w:ascii="Times New Roman"/>
                <w:sz w:val="22"/>
              </w:rPr>
            </w:pPr>
          </w:p>
        </w:tc>
        <w:tc>
          <w:tcPr>
            <w:tcW w:w="1537" w:type="dxa"/>
            <w:vMerge/>
            <w:tcBorders>
              <w:top w:val="nil"/>
            </w:tcBorders>
          </w:tcPr>
          <w:p>
            <w:pPr>
              <w:rPr>
                <w:sz w:val="2"/>
                <w:szCs w:val="2"/>
              </w:rPr>
            </w:pPr>
          </w:p>
        </w:tc>
      </w:tr>
      <w:tr>
        <w:trPr>
          <w:trHeight w:val="1142" w:hRule="atLeast"/>
        </w:trPr>
        <w:tc>
          <w:tcPr>
            <w:tcW w:w="929" w:type="dxa"/>
            <w:tcBorders>
              <w:bottom w:val="nil"/>
            </w:tcBorders>
          </w:tcPr>
          <w:p>
            <w:pPr>
              <w:pStyle w:val="TableParagraph"/>
              <w:spacing w:line="248" w:lineRule="exact"/>
              <w:ind w:left="111" w:right="102"/>
              <w:jc w:val="center"/>
              <w:rPr>
                <w:rFonts w:ascii="Arial"/>
                <w:sz w:val="22"/>
              </w:rPr>
            </w:pPr>
            <w:r>
              <w:rPr>
                <w:rFonts w:ascii="Arial"/>
                <w:sz w:val="22"/>
              </w:rPr>
              <w:t>HOME</w:t>
            </w:r>
          </w:p>
        </w:tc>
        <w:tc>
          <w:tcPr>
            <w:tcW w:w="962" w:type="dxa"/>
            <w:tcBorders>
              <w:bottom w:val="nil"/>
            </w:tcBorders>
          </w:tcPr>
          <w:p>
            <w:pPr>
              <w:pStyle w:val="TableParagraph"/>
              <w:ind w:left="454" w:right="100" w:hanging="325"/>
              <w:rPr>
                <w:rFonts w:ascii="Arial"/>
                <w:sz w:val="22"/>
              </w:rPr>
            </w:pPr>
            <w:r>
              <w:rPr>
                <w:rFonts w:ascii="Arial"/>
                <w:sz w:val="22"/>
              </w:rPr>
              <w:t>Federa l</w:t>
            </w:r>
          </w:p>
        </w:tc>
        <w:tc>
          <w:tcPr>
            <w:tcW w:w="1513" w:type="dxa"/>
            <w:tcBorders>
              <w:bottom w:val="nil"/>
            </w:tcBorders>
          </w:tcPr>
          <w:p>
            <w:pPr>
              <w:pStyle w:val="TableParagraph"/>
              <w:spacing w:line="276" w:lineRule="auto"/>
              <w:ind w:left="115" w:right="103"/>
              <w:jc w:val="center"/>
              <w:rPr>
                <w:rFonts w:ascii="Arial"/>
                <w:sz w:val="22"/>
              </w:rPr>
            </w:pPr>
            <w:r>
              <w:rPr>
                <w:rFonts w:ascii="Arial"/>
                <w:sz w:val="22"/>
              </w:rPr>
              <w:t>Acquisition Homebuyer Asst.</w:t>
            </w:r>
          </w:p>
          <w:p>
            <w:pPr>
              <w:pStyle w:val="TableParagraph"/>
              <w:ind w:left="115" w:right="105"/>
              <w:jc w:val="center"/>
              <w:rPr>
                <w:rFonts w:ascii="Arial"/>
                <w:sz w:val="22"/>
              </w:rPr>
            </w:pPr>
            <w:r>
              <w:rPr>
                <w:rFonts w:ascii="Arial"/>
                <w:sz w:val="22"/>
              </w:rPr>
              <w:t>Homeowner</w:t>
            </w:r>
          </w:p>
        </w:tc>
        <w:tc>
          <w:tcPr>
            <w:tcW w:w="1134" w:type="dxa"/>
            <w:tcBorders>
              <w:bottom w:val="nil"/>
            </w:tcBorders>
          </w:tcPr>
          <w:p>
            <w:pPr>
              <w:pStyle w:val="TableParagraph"/>
              <w:ind w:left="350" w:right="137" w:hanging="184"/>
              <w:rPr>
                <w:rFonts w:ascii="Arial"/>
                <w:sz w:val="22"/>
              </w:rPr>
            </w:pPr>
            <w:r>
              <w:rPr>
                <w:rFonts w:ascii="Arial"/>
                <w:sz w:val="22"/>
              </w:rPr>
              <w:t>$539,90 0.70</w:t>
            </w:r>
          </w:p>
        </w:tc>
        <w:tc>
          <w:tcPr>
            <w:tcW w:w="929" w:type="dxa"/>
            <w:tcBorders>
              <w:bottom w:val="nil"/>
            </w:tcBorders>
          </w:tcPr>
          <w:p>
            <w:pPr>
              <w:pStyle w:val="TableParagraph"/>
              <w:spacing w:line="248" w:lineRule="exact"/>
              <w:ind w:left="9"/>
              <w:jc w:val="center"/>
              <w:rPr>
                <w:rFonts w:ascii="Arial"/>
                <w:sz w:val="22"/>
              </w:rPr>
            </w:pPr>
            <w:r>
              <w:rPr>
                <w:rFonts w:ascii="Arial"/>
                <w:sz w:val="22"/>
              </w:rPr>
              <w:t>0</w:t>
            </w:r>
          </w:p>
        </w:tc>
        <w:tc>
          <w:tcPr>
            <w:tcW w:w="1115" w:type="dxa"/>
            <w:tcBorders>
              <w:bottom w:val="nil"/>
            </w:tcBorders>
          </w:tcPr>
          <w:p>
            <w:pPr>
              <w:pStyle w:val="TableParagraph"/>
              <w:spacing w:line="248" w:lineRule="exact"/>
              <w:ind w:left="10"/>
              <w:jc w:val="center"/>
              <w:rPr>
                <w:rFonts w:ascii="Arial"/>
                <w:sz w:val="22"/>
              </w:rPr>
            </w:pPr>
            <w:r>
              <w:rPr>
                <w:rFonts w:ascii="Arial"/>
                <w:sz w:val="22"/>
              </w:rPr>
              <w:t>0</w:t>
            </w:r>
          </w:p>
        </w:tc>
        <w:tc>
          <w:tcPr>
            <w:tcW w:w="1134" w:type="dxa"/>
            <w:tcBorders>
              <w:bottom w:val="nil"/>
            </w:tcBorders>
          </w:tcPr>
          <w:p>
            <w:pPr>
              <w:pStyle w:val="TableParagraph"/>
              <w:ind w:left="350" w:right="137" w:hanging="184"/>
              <w:rPr>
                <w:rFonts w:ascii="Arial"/>
                <w:sz w:val="22"/>
              </w:rPr>
            </w:pPr>
            <w:r>
              <w:rPr>
                <w:rFonts w:ascii="Arial"/>
                <w:sz w:val="22"/>
              </w:rPr>
              <w:t>$539,90 0.70</w:t>
            </w:r>
          </w:p>
        </w:tc>
        <w:tc>
          <w:tcPr>
            <w:tcW w:w="1318" w:type="dxa"/>
            <w:tcBorders>
              <w:bottom w:val="nil"/>
            </w:tcBorders>
          </w:tcPr>
          <w:p>
            <w:pPr>
              <w:pStyle w:val="TableParagraph"/>
              <w:ind w:left="595" w:right="138" w:hanging="429"/>
              <w:rPr>
                <w:rFonts w:ascii="Arial"/>
                <w:sz w:val="22"/>
              </w:rPr>
            </w:pPr>
            <w:r>
              <w:rPr>
                <w:rFonts w:ascii="Arial"/>
                <w:sz w:val="22"/>
              </w:rPr>
              <w:t>$2,260,00 0</w:t>
            </w:r>
          </w:p>
        </w:tc>
        <w:tc>
          <w:tcPr>
            <w:tcW w:w="1537" w:type="dxa"/>
            <w:tcBorders>
              <w:bottom w:val="nil"/>
            </w:tcBorders>
          </w:tcPr>
          <w:p>
            <w:pPr>
              <w:pStyle w:val="TableParagraph"/>
              <w:ind w:left="136" w:right="124"/>
              <w:jc w:val="center"/>
              <w:rPr>
                <w:rFonts w:ascii="Arial"/>
                <w:sz w:val="22"/>
              </w:rPr>
            </w:pPr>
            <w:r>
              <w:rPr>
                <w:rFonts w:ascii="Arial"/>
                <w:sz w:val="22"/>
              </w:rPr>
              <w:t>Funds for housing development</w:t>
            </w:r>
          </w:p>
          <w:p>
            <w:pPr>
              <w:pStyle w:val="TableParagraph"/>
              <w:ind w:left="9"/>
              <w:jc w:val="center"/>
              <w:rPr>
                <w:rFonts w:ascii="Arial"/>
                <w:sz w:val="22"/>
              </w:rPr>
            </w:pPr>
            <w:r>
              <w:rPr>
                <w:rFonts w:ascii="Arial"/>
                <w:sz w:val="22"/>
              </w:rPr>
              <w:t>.</w:t>
            </w: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Rehab.</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173"/>
              <w:jc w:val="right"/>
              <w:rPr>
                <w:rFonts w:ascii="Arial"/>
                <w:sz w:val="22"/>
              </w:rPr>
            </w:pPr>
            <w:r>
              <w:rPr>
                <w:rFonts w:ascii="Arial"/>
                <w:sz w:val="22"/>
              </w:rPr>
              <w:t>Rental New</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Constr.</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436"/>
              <w:rPr>
                <w:rFonts w:ascii="Arial"/>
                <w:sz w:val="22"/>
              </w:rPr>
            </w:pPr>
            <w:r>
              <w:rPr>
                <w:rFonts w:ascii="Arial"/>
                <w:sz w:val="22"/>
              </w:rPr>
              <w:t>Rental</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Rehab.</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173"/>
              <w:jc w:val="right"/>
              <w:rPr>
                <w:rFonts w:ascii="Arial"/>
                <w:sz w:val="22"/>
              </w:rPr>
            </w:pPr>
            <w:r>
              <w:rPr>
                <w:rFonts w:ascii="Arial"/>
                <w:sz w:val="22"/>
              </w:rPr>
              <w:t>New Const.</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115" w:right="106"/>
              <w:jc w:val="center"/>
              <w:rPr>
                <w:rFonts w:ascii="Arial"/>
                <w:sz w:val="22"/>
              </w:rPr>
            </w:pPr>
            <w:r>
              <w:rPr>
                <w:rFonts w:ascii="Arial"/>
                <w:sz w:val="22"/>
              </w:rPr>
              <w:t>for</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216"/>
              <w:jc w:val="right"/>
              <w:rPr>
                <w:rFonts w:ascii="Arial"/>
                <w:sz w:val="22"/>
              </w:rPr>
            </w:pPr>
            <w:r>
              <w:rPr>
                <w:rFonts w:ascii="Arial"/>
                <w:sz w:val="22"/>
              </w:rPr>
              <w:t>Ownership</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303" w:hRule="atLeast"/>
        </w:trPr>
        <w:tc>
          <w:tcPr>
            <w:tcW w:w="929" w:type="dxa"/>
            <w:tcBorders>
              <w:top w:val="nil"/>
            </w:tcBorders>
          </w:tcPr>
          <w:p>
            <w:pPr>
              <w:pStyle w:val="TableParagraph"/>
              <w:rPr>
                <w:rFonts w:ascii="Times New Roman"/>
                <w:sz w:val="22"/>
              </w:rPr>
            </w:pPr>
          </w:p>
        </w:tc>
        <w:tc>
          <w:tcPr>
            <w:tcW w:w="962" w:type="dxa"/>
            <w:tcBorders>
              <w:top w:val="nil"/>
            </w:tcBorders>
          </w:tcPr>
          <w:p>
            <w:pPr>
              <w:pStyle w:val="TableParagraph"/>
              <w:rPr>
                <w:rFonts w:ascii="Times New Roman"/>
                <w:sz w:val="22"/>
              </w:rPr>
            </w:pPr>
          </w:p>
        </w:tc>
        <w:tc>
          <w:tcPr>
            <w:tcW w:w="1513" w:type="dxa"/>
            <w:tcBorders>
              <w:top w:val="nil"/>
            </w:tcBorders>
          </w:tcPr>
          <w:p>
            <w:pPr>
              <w:pStyle w:val="TableParagraph"/>
              <w:spacing w:before="15"/>
              <w:ind w:left="460"/>
              <w:rPr>
                <w:rFonts w:ascii="Arial"/>
                <w:sz w:val="22"/>
              </w:rPr>
            </w:pPr>
            <w:r>
              <w:rPr>
                <w:rFonts w:ascii="Arial"/>
                <w:sz w:val="22"/>
              </w:rPr>
              <w:t>TBRA</w:t>
            </w:r>
          </w:p>
        </w:tc>
        <w:tc>
          <w:tcPr>
            <w:tcW w:w="1134" w:type="dxa"/>
            <w:tcBorders>
              <w:top w:val="nil"/>
            </w:tcBorders>
          </w:tcPr>
          <w:p>
            <w:pPr>
              <w:pStyle w:val="TableParagraph"/>
              <w:rPr>
                <w:rFonts w:ascii="Times New Roman"/>
                <w:sz w:val="22"/>
              </w:rPr>
            </w:pPr>
          </w:p>
        </w:tc>
        <w:tc>
          <w:tcPr>
            <w:tcW w:w="929" w:type="dxa"/>
            <w:tcBorders>
              <w:top w:val="nil"/>
            </w:tcBorders>
          </w:tcPr>
          <w:p>
            <w:pPr>
              <w:pStyle w:val="TableParagraph"/>
              <w:rPr>
                <w:rFonts w:ascii="Times New Roman"/>
                <w:sz w:val="22"/>
              </w:rPr>
            </w:pPr>
          </w:p>
        </w:tc>
        <w:tc>
          <w:tcPr>
            <w:tcW w:w="1115" w:type="dxa"/>
            <w:tcBorders>
              <w:top w:val="nil"/>
            </w:tcBorders>
          </w:tcPr>
          <w:p>
            <w:pPr>
              <w:pStyle w:val="TableParagraph"/>
              <w:rPr>
                <w:rFonts w:ascii="Times New Roman"/>
                <w:sz w:val="22"/>
              </w:rPr>
            </w:pPr>
          </w:p>
        </w:tc>
        <w:tc>
          <w:tcPr>
            <w:tcW w:w="1134" w:type="dxa"/>
            <w:tcBorders>
              <w:top w:val="nil"/>
            </w:tcBorders>
          </w:tcPr>
          <w:p>
            <w:pPr>
              <w:pStyle w:val="TableParagraph"/>
              <w:rPr>
                <w:rFonts w:ascii="Times New Roman"/>
                <w:sz w:val="22"/>
              </w:rPr>
            </w:pPr>
          </w:p>
        </w:tc>
        <w:tc>
          <w:tcPr>
            <w:tcW w:w="1318" w:type="dxa"/>
            <w:tcBorders>
              <w:top w:val="nil"/>
            </w:tcBorders>
          </w:tcPr>
          <w:p>
            <w:pPr>
              <w:pStyle w:val="TableParagraph"/>
              <w:rPr>
                <w:rFonts w:ascii="Times New Roman"/>
                <w:sz w:val="22"/>
              </w:rPr>
            </w:pPr>
          </w:p>
        </w:tc>
        <w:tc>
          <w:tcPr>
            <w:tcW w:w="1537" w:type="dxa"/>
            <w:tcBorders>
              <w:top w:val="nil"/>
            </w:tcBorders>
          </w:tcPr>
          <w:p>
            <w:pPr>
              <w:pStyle w:val="TableParagraph"/>
              <w:rPr>
                <w:rFonts w:ascii="Times New Roman"/>
                <w:sz w:val="22"/>
              </w:rPr>
            </w:pPr>
          </w:p>
        </w:tc>
      </w:tr>
    </w:tbl>
    <w:p>
      <w:pPr>
        <w:spacing w:before="0"/>
        <w:ind w:left="3327" w:right="0" w:firstLine="0"/>
        <w:jc w:val="left"/>
        <w:rPr>
          <w:rFonts w:ascii="Arial"/>
          <w:b/>
          <w:sz w:val="20"/>
        </w:rPr>
      </w:pPr>
      <w:r>
        <w:rPr>
          <w:rFonts w:ascii="Arial"/>
          <w:b/>
          <w:sz w:val="20"/>
        </w:rPr>
        <w:t>Table 55 - Anticipated Resources</w:t>
      </w:r>
    </w:p>
    <w:p>
      <w:pPr>
        <w:spacing w:after="0"/>
        <w:jc w:val="left"/>
        <w:rPr>
          <w:rFonts w:ascii="Arial"/>
          <w:sz w:val="20"/>
        </w:rPr>
        <w:sectPr>
          <w:headerReference w:type="default" r:id="rId115"/>
          <w:footerReference w:type="default" r:id="rId116"/>
          <w:pgSz w:w="12240" w:h="15840"/>
          <w:pgMar w:header="0" w:footer="1340" w:top="1500" w:bottom="1540" w:left="1220" w:right="100"/>
          <w:pgNumType w:start="101"/>
        </w:sectPr>
      </w:pPr>
    </w:p>
    <w:p>
      <w:pPr>
        <w:pStyle w:val="Heading4"/>
        <w:spacing w:line="276" w:lineRule="auto" w:before="24"/>
        <w:ind w:right="1674"/>
      </w:pPr>
      <w:r>
        <w:rPr/>
        <w:t>Explain how federal funds will leverage those additional resources (private, state and local funds), including a description of how matching requirements will be satisfied</w:t>
      </w:r>
    </w:p>
    <w:p>
      <w:pPr>
        <w:pStyle w:val="BodyText"/>
        <w:spacing w:line="276" w:lineRule="auto" w:before="200"/>
        <w:ind w:left="220" w:right="1410"/>
      </w:pPr>
      <w:r>
        <w:rPr/>
        <w:t>The City will continue to partner with other public agencies and non-profit organizations, when feasible, to leverage resources and maximize outcomes in housing and community development. Leveraged resources include, but are not limited to, Continuum of Care dollars, Housing Authority resources, Mental Health, Drug and Alcohol services, and LIHTC. The HOME program requirement of 25% match for every dollar in program funds will be met by the sub-recipient of the HOME funds, including developers and CHDOs. Match may include non-Federal cash contributions and below-market interest rate loans to the project. Developer equity from a LIHTC deal will not be counted as match.</w:t>
      </w:r>
    </w:p>
    <w:p>
      <w:pPr>
        <w:pStyle w:val="BodyText"/>
        <w:spacing w:before="5"/>
        <w:rPr>
          <w:sz w:val="16"/>
        </w:rPr>
      </w:pPr>
    </w:p>
    <w:p>
      <w:pPr>
        <w:pStyle w:val="Heading4"/>
        <w:spacing w:line="276" w:lineRule="auto"/>
        <w:ind w:right="1571"/>
      </w:pPr>
      <w:r>
        <w:rPr/>
        <w:t>If appropriate, describe publicly owned land or property located within the jurisdiction that may be used to address the needs identified in the plan</w:t>
      </w:r>
    </w:p>
    <w:p>
      <w:pPr>
        <w:pStyle w:val="BodyText"/>
        <w:spacing w:line="276" w:lineRule="auto" w:before="199"/>
        <w:ind w:left="220" w:right="1401"/>
      </w:pPr>
      <w:r>
        <w:rPr/>
        <w:t>The City does not typically acquire property, nor does it currently have inventory available for the use in addressing Plan needs.</w:t>
      </w:r>
    </w:p>
    <w:p>
      <w:pPr>
        <w:spacing w:after="0" w:line="276" w:lineRule="auto"/>
        <w:sectPr>
          <w:headerReference w:type="default" r:id="rId117"/>
          <w:footerReference w:type="default" r:id="rId118"/>
          <w:pgSz w:w="12240" w:h="15840"/>
          <w:pgMar w:header="0" w:footer="1340" w:top="1420" w:bottom="1540" w:left="1220" w:right="100"/>
          <w:pgNumType w:start="102"/>
        </w:sectPr>
      </w:pPr>
    </w:p>
    <w:p>
      <w:pPr>
        <w:pStyle w:val="Heading1"/>
        <w:spacing w:before="106"/>
      </w:pPr>
      <w:bookmarkStart w:name="_TOC_250015" w:id="7"/>
      <w:bookmarkEnd w:id="7"/>
      <w:r>
        <w:rPr>
          <w:color w:val="0E4661"/>
        </w:rPr>
        <w:t>SP-40 Institutional Delivery Structure – 91.215(k)</w:t>
      </w:r>
    </w:p>
    <w:p>
      <w:pPr>
        <w:pStyle w:val="BodyText"/>
        <w:spacing w:line="276" w:lineRule="auto" w:before="136"/>
        <w:ind w:left="220" w:right="1608"/>
      </w:pPr>
      <w:r>
        <w:rPr/>
        <w:t>Explain the institutional structure through which the jurisdiction will carry out its consolidated </w:t>
      </w:r>
      <w:r>
        <w:rPr>
          <w:spacing w:val="-5"/>
        </w:rPr>
        <w:t>plan </w:t>
      </w:r>
      <w:r>
        <w:rPr/>
        <w:t>including private industry, non-profit organizations, and public institutions.</w:t>
      </w:r>
    </w:p>
    <w:p>
      <w:pPr>
        <w:pStyle w:val="BodyText"/>
        <w:spacing w:before="1"/>
        <w:rPr>
          <w:sz w:val="1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65"/>
        <w:gridCol w:w="2293"/>
        <w:gridCol w:w="2293"/>
        <w:gridCol w:w="2399"/>
      </w:tblGrid>
      <w:tr>
        <w:trPr>
          <w:trHeight w:val="532" w:hRule="atLeast"/>
        </w:trPr>
        <w:tc>
          <w:tcPr>
            <w:tcW w:w="2365" w:type="dxa"/>
          </w:tcPr>
          <w:p>
            <w:pPr>
              <w:pStyle w:val="TableParagraph"/>
              <w:spacing w:before="1"/>
              <w:ind w:left="336"/>
              <w:rPr>
                <w:b/>
                <w:sz w:val="22"/>
              </w:rPr>
            </w:pPr>
            <w:r>
              <w:rPr>
                <w:b/>
                <w:sz w:val="22"/>
              </w:rPr>
              <w:t>Responsible Entity</w:t>
            </w:r>
          </w:p>
        </w:tc>
        <w:tc>
          <w:tcPr>
            <w:tcW w:w="2293" w:type="dxa"/>
          </w:tcPr>
          <w:p>
            <w:pPr>
              <w:pStyle w:val="TableParagraph"/>
              <w:spacing w:line="270" w:lineRule="atLeast"/>
              <w:ind w:left="923" w:right="270" w:hanging="623"/>
              <w:rPr>
                <w:b/>
                <w:sz w:val="22"/>
              </w:rPr>
            </w:pPr>
            <w:r>
              <w:rPr>
                <w:b/>
                <w:sz w:val="22"/>
              </w:rPr>
              <w:t>Responsible Entity Type</w:t>
            </w:r>
          </w:p>
        </w:tc>
        <w:tc>
          <w:tcPr>
            <w:tcW w:w="2293" w:type="dxa"/>
          </w:tcPr>
          <w:p>
            <w:pPr>
              <w:pStyle w:val="TableParagraph"/>
              <w:spacing w:before="1"/>
              <w:ind w:left="940"/>
              <w:rPr>
                <w:b/>
                <w:sz w:val="22"/>
              </w:rPr>
            </w:pPr>
            <w:r>
              <w:rPr>
                <w:b/>
                <w:sz w:val="22"/>
              </w:rPr>
              <w:t>Role</w:t>
            </w:r>
          </w:p>
        </w:tc>
        <w:tc>
          <w:tcPr>
            <w:tcW w:w="2399" w:type="dxa"/>
          </w:tcPr>
          <w:p>
            <w:pPr>
              <w:pStyle w:val="TableParagraph"/>
              <w:spacing w:line="270" w:lineRule="atLeast"/>
              <w:ind w:left="884" w:right="405" w:hanging="449"/>
              <w:rPr>
                <w:b/>
                <w:sz w:val="22"/>
              </w:rPr>
            </w:pPr>
            <w:r>
              <w:rPr>
                <w:b/>
                <w:sz w:val="22"/>
              </w:rPr>
              <w:t>Geographic Area Served</w:t>
            </w:r>
          </w:p>
        </w:tc>
      </w:tr>
      <w:tr>
        <w:trPr>
          <w:trHeight w:val="998" w:hRule="atLeast"/>
        </w:trPr>
        <w:tc>
          <w:tcPr>
            <w:tcW w:w="2365" w:type="dxa"/>
          </w:tcPr>
          <w:p>
            <w:pPr>
              <w:pStyle w:val="TableParagraph"/>
              <w:ind w:left="226" w:right="214"/>
              <w:jc w:val="center"/>
              <w:rPr>
                <w:rFonts w:ascii="Arial"/>
                <w:sz w:val="22"/>
              </w:rPr>
            </w:pPr>
            <w:r>
              <w:rPr>
                <w:rFonts w:ascii="Arial"/>
                <w:sz w:val="22"/>
              </w:rPr>
              <w:t>City of</w:t>
            </w:r>
            <w:r>
              <w:rPr>
                <w:rFonts w:ascii="Arial"/>
                <w:spacing w:val="-17"/>
                <w:sz w:val="22"/>
              </w:rPr>
              <w:t> </w:t>
            </w:r>
            <w:r>
              <w:rPr>
                <w:rFonts w:ascii="Arial"/>
                <w:sz w:val="22"/>
              </w:rPr>
              <w:t>Bloomington Housing and Neighborhood</w:t>
            </w:r>
          </w:p>
          <w:p>
            <w:pPr>
              <w:pStyle w:val="TableParagraph"/>
              <w:spacing w:line="230" w:lineRule="exact"/>
              <w:ind w:left="224" w:right="214"/>
              <w:jc w:val="center"/>
              <w:rPr>
                <w:rFonts w:ascii="Arial"/>
                <w:sz w:val="22"/>
              </w:rPr>
            </w:pPr>
            <w:r>
              <w:rPr>
                <w:rFonts w:ascii="Arial"/>
                <w:sz w:val="22"/>
              </w:rPr>
              <w:t>Development</w:t>
            </w:r>
          </w:p>
        </w:tc>
        <w:tc>
          <w:tcPr>
            <w:tcW w:w="2293" w:type="dxa"/>
          </w:tcPr>
          <w:p>
            <w:pPr>
              <w:pStyle w:val="TableParagraph"/>
              <w:ind w:left="563" w:right="521" w:hanging="13"/>
              <w:rPr>
                <w:rFonts w:ascii="Arial"/>
                <w:sz w:val="22"/>
              </w:rPr>
            </w:pPr>
            <w:r>
              <w:rPr>
                <w:rFonts w:ascii="Arial"/>
                <w:sz w:val="22"/>
              </w:rPr>
              <w:t>Local unit of government</w:t>
            </w:r>
          </w:p>
        </w:tc>
        <w:tc>
          <w:tcPr>
            <w:tcW w:w="2293" w:type="dxa"/>
          </w:tcPr>
          <w:p>
            <w:pPr>
              <w:pStyle w:val="TableParagraph"/>
              <w:spacing w:line="243" w:lineRule="exact"/>
              <w:ind w:left="899"/>
              <w:rPr>
                <w:rFonts w:ascii="Arial"/>
                <w:sz w:val="22"/>
              </w:rPr>
            </w:pPr>
            <w:r>
              <w:rPr>
                <w:rFonts w:ascii="Arial"/>
                <w:sz w:val="22"/>
              </w:rPr>
              <w:t>Lead</w:t>
            </w:r>
          </w:p>
        </w:tc>
        <w:tc>
          <w:tcPr>
            <w:tcW w:w="2399" w:type="dxa"/>
          </w:tcPr>
          <w:p>
            <w:pPr>
              <w:pStyle w:val="TableParagraph"/>
              <w:ind w:left="163" w:right="133" w:firstLine="440"/>
              <w:rPr>
                <w:rFonts w:ascii="Arial"/>
                <w:sz w:val="22"/>
              </w:rPr>
            </w:pPr>
            <w:r>
              <w:rPr>
                <w:rFonts w:ascii="Arial"/>
                <w:sz w:val="22"/>
              </w:rPr>
              <w:t>City limits of Bloomington, Indiana</w:t>
            </w:r>
          </w:p>
        </w:tc>
      </w:tr>
    </w:tbl>
    <w:p>
      <w:pPr>
        <w:spacing w:before="0"/>
        <w:ind w:left="2955" w:right="0" w:firstLine="0"/>
        <w:jc w:val="left"/>
        <w:rPr>
          <w:rFonts w:ascii="Arial"/>
          <w:b/>
          <w:sz w:val="20"/>
        </w:rPr>
      </w:pPr>
      <w:r>
        <w:rPr>
          <w:rFonts w:ascii="Arial"/>
          <w:b/>
          <w:sz w:val="20"/>
        </w:rPr>
        <w:t>Table 56 - Institutional Delivery Structure</w:t>
      </w:r>
    </w:p>
    <w:p>
      <w:pPr>
        <w:pStyle w:val="BodyText"/>
        <w:rPr>
          <w:rFonts w:ascii="Arial"/>
          <w:b/>
        </w:rPr>
      </w:pPr>
    </w:p>
    <w:p>
      <w:pPr>
        <w:pStyle w:val="BodyText"/>
        <w:rPr>
          <w:rFonts w:ascii="Arial"/>
          <w:b/>
          <w:sz w:val="25"/>
        </w:rPr>
      </w:pPr>
    </w:p>
    <w:p>
      <w:pPr>
        <w:pStyle w:val="Heading4"/>
        <w:spacing w:before="1"/>
      </w:pPr>
      <w:r>
        <w:rPr/>
        <w:t>Assess of Strengths and Gaps in the Institutional Delivery System</w:t>
      </w:r>
    </w:p>
    <w:p>
      <w:pPr>
        <w:pStyle w:val="BodyText"/>
        <w:spacing w:before="7"/>
        <w:rPr>
          <w:b/>
          <w:sz w:val="19"/>
        </w:rPr>
      </w:pPr>
    </w:p>
    <w:p>
      <w:pPr>
        <w:pStyle w:val="BodyText"/>
        <w:spacing w:line="276" w:lineRule="auto"/>
        <w:ind w:left="220" w:right="1557"/>
        <w:rPr>
          <w:rFonts w:ascii="Arial"/>
        </w:rPr>
      </w:pPr>
      <w:r>
        <w:rPr>
          <w:rFonts w:ascii="Arial"/>
        </w:rPr>
        <w:t>The City of Bloomington has a capable housing and community development delivery system. While the primary responsibility for the administration of CDBG and HOME Programs lies with the City, several public agencies, for profit entities, and non-profit organizations all assist with providing housing, community development, homeless, and other public services throughout Bloomington</w:t>
      </w:r>
    </w:p>
    <w:p>
      <w:pPr>
        <w:pStyle w:val="BodyText"/>
        <w:spacing w:before="10"/>
        <w:rPr>
          <w:rFonts w:ascii="Arial"/>
          <w:sz w:val="20"/>
        </w:rPr>
      </w:pPr>
    </w:p>
    <w:p>
      <w:pPr>
        <w:pStyle w:val="BodyText"/>
        <w:spacing w:line="276" w:lineRule="auto"/>
        <w:ind w:left="220" w:right="1508"/>
        <w:rPr>
          <w:rFonts w:ascii="Arial"/>
        </w:rPr>
      </w:pPr>
      <w:r>
        <w:rPr>
          <w:rFonts w:ascii="Arial"/>
        </w:rPr>
        <w:t>The primary gap preventing the City and its partners from carrying out its housing and community development strategy is the lack of resources for affordable housing proposals and community development activities in the City. The City continues to seek additional housing funds from the state and other sources to supplement its federal funds. Stakeholders reported that many residents are unaware of their rights or the services provided by housing agencies like HAND and BHA, leading to issues with maintaining safe and habitable living conditions.</w:t>
      </w:r>
    </w:p>
    <w:p>
      <w:pPr>
        <w:pStyle w:val="BodyText"/>
        <w:spacing w:line="276" w:lineRule="auto"/>
        <w:ind w:left="220" w:right="1715"/>
        <w:rPr>
          <w:rFonts w:ascii="Arial"/>
        </w:rPr>
      </w:pPr>
      <w:r>
        <w:rPr>
          <w:rFonts w:ascii="Arial"/>
        </w:rPr>
        <w:t>Organizations like Heading Home and Housing4Hoosiers are working to improve communication and knowledge between landlords, tenants, and housing agencies, including creating resources and task forces to address these issues.</w:t>
      </w:r>
    </w:p>
    <w:p>
      <w:pPr>
        <w:pStyle w:val="BodyText"/>
        <w:spacing w:before="3"/>
        <w:rPr>
          <w:rFonts w:ascii="Arial"/>
          <w:sz w:val="21"/>
        </w:rPr>
      </w:pPr>
    </w:p>
    <w:p>
      <w:pPr>
        <w:pStyle w:val="Heading4"/>
        <w:spacing w:line="276" w:lineRule="auto"/>
        <w:ind w:right="1576"/>
      </w:pPr>
      <w:r>
        <w:rPr/>
        <w:t>Availability of services targeted to homeless persons and persons with HIV and mainstream services</w:t>
      </w:r>
    </w:p>
    <w:p>
      <w:pPr>
        <w:pStyle w:val="BodyText"/>
        <w:rPr>
          <w:b/>
          <w:sz w:val="16"/>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0"/>
        <w:gridCol w:w="2110"/>
        <w:gridCol w:w="2110"/>
        <w:gridCol w:w="2110"/>
      </w:tblGrid>
      <w:tr>
        <w:trPr>
          <w:trHeight w:val="532" w:hRule="atLeast"/>
        </w:trPr>
        <w:tc>
          <w:tcPr>
            <w:tcW w:w="3020" w:type="dxa"/>
          </w:tcPr>
          <w:p>
            <w:pPr>
              <w:pStyle w:val="TableParagraph"/>
              <w:spacing w:line="270" w:lineRule="atLeast"/>
              <w:ind w:left="1136" w:right="305" w:hanging="803"/>
              <w:rPr>
                <w:b/>
                <w:sz w:val="22"/>
              </w:rPr>
            </w:pPr>
            <w:r>
              <w:rPr>
                <w:b/>
                <w:sz w:val="22"/>
              </w:rPr>
              <w:t>Homelessness Prevention Services</w:t>
            </w:r>
          </w:p>
        </w:tc>
        <w:tc>
          <w:tcPr>
            <w:tcW w:w="2110" w:type="dxa"/>
          </w:tcPr>
          <w:p>
            <w:pPr>
              <w:pStyle w:val="TableParagraph"/>
              <w:spacing w:line="270" w:lineRule="atLeast"/>
              <w:ind w:left="520" w:right="312" w:hanging="180"/>
              <w:rPr>
                <w:b/>
                <w:sz w:val="22"/>
              </w:rPr>
            </w:pPr>
            <w:r>
              <w:rPr>
                <w:b/>
                <w:sz w:val="22"/>
              </w:rPr>
              <w:t>Available in the Community</w:t>
            </w:r>
          </w:p>
        </w:tc>
        <w:tc>
          <w:tcPr>
            <w:tcW w:w="2110" w:type="dxa"/>
          </w:tcPr>
          <w:p>
            <w:pPr>
              <w:pStyle w:val="TableParagraph"/>
              <w:spacing w:line="270" w:lineRule="atLeast"/>
              <w:ind w:left="608" w:right="493" w:hanging="87"/>
              <w:rPr>
                <w:b/>
                <w:sz w:val="22"/>
              </w:rPr>
            </w:pPr>
            <w:r>
              <w:rPr>
                <w:b/>
                <w:sz w:val="22"/>
              </w:rPr>
              <w:t>Targeted to Homeless</w:t>
            </w:r>
          </w:p>
        </w:tc>
        <w:tc>
          <w:tcPr>
            <w:tcW w:w="2110" w:type="dxa"/>
          </w:tcPr>
          <w:p>
            <w:pPr>
              <w:pStyle w:val="TableParagraph"/>
              <w:spacing w:line="270" w:lineRule="atLeast"/>
              <w:ind w:left="657" w:right="154" w:hanging="475"/>
              <w:rPr>
                <w:b/>
                <w:sz w:val="22"/>
              </w:rPr>
            </w:pPr>
            <w:r>
              <w:rPr>
                <w:b/>
                <w:sz w:val="22"/>
              </w:rPr>
              <w:t>Targeted to People with HIV</w:t>
            </w:r>
          </w:p>
        </w:tc>
      </w:tr>
      <w:tr>
        <w:trPr>
          <w:trHeight w:val="255" w:hRule="atLeast"/>
        </w:trPr>
        <w:tc>
          <w:tcPr>
            <w:tcW w:w="9350" w:type="dxa"/>
            <w:gridSpan w:val="4"/>
          </w:tcPr>
          <w:p>
            <w:pPr>
              <w:pStyle w:val="TableParagraph"/>
              <w:spacing w:line="236" w:lineRule="exact"/>
              <w:ind w:left="3083" w:right="3073"/>
              <w:jc w:val="center"/>
              <w:rPr>
                <w:b/>
                <w:sz w:val="22"/>
              </w:rPr>
            </w:pPr>
            <w:r>
              <w:rPr>
                <w:b/>
                <w:sz w:val="22"/>
              </w:rPr>
              <w:t>Homelessness Prevention Services</w:t>
            </w:r>
          </w:p>
        </w:tc>
      </w:tr>
      <w:tr>
        <w:trPr>
          <w:trHeight w:val="303" w:hRule="atLeast"/>
        </w:trPr>
        <w:tc>
          <w:tcPr>
            <w:tcW w:w="302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r>
      <w:tr>
        <w:trPr>
          <w:trHeight w:val="263" w:hRule="atLeast"/>
        </w:trPr>
        <w:tc>
          <w:tcPr>
            <w:tcW w:w="3020" w:type="dxa"/>
          </w:tcPr>
          <w:p>
            <w:pPr>
              <w:pStyle w:val="TableParagraph"/>
              <w:spacing w:line="242" w:lineRule="exact" w:before="1"/>
              <w:ind w:left="112"/>
              <w:rPr>
                <w:sz w:val="22"/>
              </w:rPr>
            </w:pPr>
            <w:r>
              <w:rPr>
                <w:sz w:val="22"/>
              </w:rPr>
              <w:t>Counseling/Advocacy</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spacing w:line="242" w:lineRule="exact" w:before="1"/>
              <w:ind w:left="9"/>
              <w:jc w:val="center"/>
              <w:rPr>
                <w:sz w:val="22"/>
              </w:rPr>
            </w:pPr>
            <w:r>
              <w:rPr>
                <w:sz w:val="22"/>
              </w:rPr>
              <w:t>X</w:t>
            </w:r>
          </w:p>
        </w:tc>
      </w:tr>
      <w:tr>
        <w:trPr>
          <w:trHeight w:val="263" w:hRule="atLeast"/>
        </w:trPr>
        <w:tc>
          <w:tcPr>
            <w:tcW w:w="3020" w:type="dxa"/>
          </w:tcPr>
          <w:p>
            <w:pPr>
              <w:pStyle w:val="TableParagraph"/>
              <w:spacing w:line="242" w:lineRule="exact" w:before="1"/>
              <w:ind w:left="112"/>
              <w:rPr>
                <w:sz w:val="22"/>
              </w:rPr>
            </w:pPr>
            <w:r>
              <w:rPr>
                <w:sz w:val="22"/>
              </w:rPr>
              <w:t>Legal Assistance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Mortgage Assistance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rPr>
                <w:rFonts w:ascii="Times New Roman"/>
                <w:sz w:val="18"/>
              </w:rPr>
            </w:pP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Rental Assistance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spacing w:line="242" w:lineRule="exact" w:before="1"/>
              <w:ind w:left="9"/>
              <w:jc w:val="center"/>
              <w:rPr>
                <w:sz w:val="22"/>
              </w:rPr>
            </w:pPr>
            <w:r>
              <w:rPr>
                <w:sz w:val="22"/>
              </w:rPr>
              <w:t>X</w:t>
            </w:r>
          </w:p>
        </w:tc>
      </w:tr>
      <w:tr>
        <w:trPr>
          <w:trHeight w:val="263" w:hRule="atLeast"/>
        </w:trPr>
        <w:tc>
          <w:tcPr>
            <w:tcW w:w="3020" w:type="dxa"/>
          </w:tcPr>
          <w:p>
            <w:pPr>
              <w:pStyle w:val="TableParagraph"/>
              <w:spacing w:line="242" w:lineRule="exact" w:before="1"/>
              <w:ind w:left="112"/>
              <w:rPr>
                <w:sz w:val="22"/>
              </w:rPr>
            </w:pPr>
            <w:r>
              <w:rPr>
                <w:sz w:val="22"/>
              </w:rPr>
              <w:t>Utilities Assistance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spacing w:line="242" w:lineRule="exact" w:before="1"/>
              <w:ind w:left="9"/>
              <w:jc w:val="center"/>
              <w:rPr>
                <w:sz w:val="22"/>
              </w:rPr>
            </w:pPr>
            <w:r>
              <w:rPr>
                <w:sz w:val="22"/>
              </w:rPr>
              <w:t>X</w:t>
            </w:r>
          </w:p>
        </w:tc>
      </w:tr>
    </w:tbl>
    <w:p>
      <w:pPr>
        <w:spacing w:after="0" w:line="242" w:lineRule="exact"/>
        <w:jc w:val="center"/>
        <w:rPr>
          <w:sz w:val="22"/>
        </w:rPr>
        <w:sectPr>
          <w:headerReference w:type="default" r:id="rId119"/>
          <w:footerReference w:type="default" r:id="rId120"/>
          <w:pgSz w:w="12240" w:h="15840"/>
          <w:pgMar w:header="0" w:footer="1340" w:top="1500" w:bottom="1540" w:left="1220" w:right="100"/>
          <w:pgNumType w:start="103"/>
        </w:sectPr>
      </w:pPr>
    </w:p>
    <w:p>
      <w:pPr>
        <w:pStyle w:val="BodyText"/>
        <w:spacing w:before="4"/>
        <w:rPr>
          <w:b/>
          <w:sz w:val="20"/>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0"/>
        <w:gridCol w:w="2110"/>
        <w:gridCol w:w="2110"/>
        <w:gridCol w:w="2110"/>
      </w:tblGrid>
      <w:tr>
        <w:trPr>
          <w:trHeight w:val="263" w:hRule="atLeast"/>
        </w:trPr>
        <w:tc>
          <w:tcPr>
            <w:tcW w:w="9350" w:type="dxa"/>
            <w:gridSpan w:val="4"/>
          </w:tcPr>
          <w:p>
            <w:pPr>
              <w:pStyle w:val="TableParagraph"/>
              <w:spacing w:line="242" w:lineRule="exact" w:before="1"/>
              <w:ind w:left="3083" w:right="3073"/>
              <w:jc w:val="center"/>
              <w:rPr>
                <w:b/>
                <w:sz w:val="22"/>
              </w:rPr>
            </w:pPr>
            <w:r>
              <w:rPr>
                <w:b/>
                <w:sz w:val="22"/>
              </w:rPr>
              <w:t>Street Outreach Services</w:t>
            </w:r>
          </w:p>
        </w:tc>
      </w:tr>
      <w:tr>
        <w:trPr>
          <w:trHeight w:val="303" w:hRule="atLeast"/>
        </w:trPr>
        <w:tc>
          <w:tcPr>
            <w:tcW w:w="302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r>
      <w:tr>
        <w:trPr>
          <w:trHeight w:val="263" w:hRule="atLeast"/>
        </w:trPr>
        <w:tc>
          <w:tcPr>
            <w:tcW w:w="3020" w:type="dxa"/>
          </w:tcPr>
          <w:p>
            <w:pPr>
              <w:pStyle w:val="TableParagraph"/>
              <w:spacing w:line="242" w:lineRule="exact" w:before="1"/>
              <w:ind w:left="112"/>
              <w:rPr>
                <w:sz w:val="22"/>
              </w:rPr>
            </w:pPr>
            <w:r>
              <w:rPr>
                <w:sz w:val="22"/>
              </w:rPr>
              <w:t>Law Enforcement</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Mobile Clinics</w:t>
            </w:r>
          </w:p>
        </w:tc>
        <w:tc>
          <w:tcPr>
            <w:tcW w:w="2110" w:type="dxa"/>
          </w:tcPr>
          <w:p>
            <w:pPr>
              <w:pStyle w:val="TableParagraph"/>
              <w:rPr>
                <w:rFonts w:ascii="Times New Roman"/>
                <w:sz w:val="18"/>
              </w:rPr>
            </w:pPr>
          </w:p>
        </w:tc>
        <w:tc>
          <w:tcPr>
            <w:tcW w:w="2110" w:type="dxa"/>
          </w:tcPr>
          <w:p>
            <w:pPr>
              <w:pStyle w:val="TableParagraph"/>
              <w:rPr>
                <w:rFonts w:ascii="Times New Roman"/>
                <w:sz w:val="18"/>
              </w:rPr>
            </w:pP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Other Street Outreach Services</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bl>
    <w:p>
      <w:pPr>
        <w:pStyle w:val="BodyText"/>
        <w:spacing w:before="3"/>
        <w:rPr>
          <w:b/>
          <w:sz w:val="25"/>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0"/>
        <w:gridCol w:w="2110"/>
        <w:gridCol w:w="2110"/>
        <w:gridCol w:w="2110"/>
      </w:tblGrid>
      <w:tr>
        <w:trPr>
          <w:trHeight w:val="263" w:hRule="atLeast"/>
        </w:trPr>
        <w:tc>
          <w:tcPr>
            <w:tcW w:w="9350" w:type="dxa"/>
            <w:gridSpan w:val="4"/>
          </w:tcPr>
          <w:p>
            <w:pPr>
              <w:pStyle w:val="TableParagraph"/>
              <w:spacing w:line="242" w:lineRule="exact" w:before="1"/>
              <w:ind w:left="3083" w:right="3073"/>
              <w:jc w:val="center"/>
              <w:rPr>
                <w:b/>
                <w:sz w:val="22"/>
              </w:rPr>
            </w:pPr>
            <w:r>
              <w:rPr>
                <w:b/>
                <w:sz w:val="22"/>
              </w:rPr>
              <w:t>Supportive Services</w:t>
            </w:r>
          </w:p>
        </w:tc>
      </w:tr>
      <w:tr>
        <w:trPr>
          <w:trHeight w:val="303" w:hRule="atLeast"/>
        </w:trPr>
        <w:tc>
          <w:tcPr>
            <w:tcW w:w="302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r>
      <w:tr>
        <w:trPr>
          <w:trHeight w:val="263" w:hRule="atLeast"/>
        </w:trPr>
        <w:tc>
          <w:tcPr>
            <w:tcW w:w="3020" w:type="dxa"/>
          </w:tcPr>
          <w:p>
            <w:pPr>
              <w:pStyle w:val="TableParagraph"/>
              <w:spacing w:line="242" w:lineRule="exact" w:before="1"/>
              <w:ind w:left="112"/>
              <w:rPr>
                <w:sz w:val="22"/>
              </w:rPr>
            </w:pPr>
            <w:r>
              <w:rPr>
                <w:sz w:val="22"/>
              </w:rPr>
              <w:t>Alcohol &amp; Drug Abuse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Child Care</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Education</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532" w:hRule="atLeast"/>
        </w:trPr>
        <w:tc>
          <w:tcPr>
            <w:tcW w:w="3020" w:type="dxa"/>
          </w:tcPr>
          <w:p>
            <w:pPr>
              <w:pStyle w:val="TableParagraph"/>
              <w:spacing w:line="270" w:lineRule="atLeast"/>
              <w:ind w:left="112" w:right="158"/>
              <w:rPr>
                <w:sz w:val="22"/>
              </w:rPr>
            </w:pPr>
            <w:r>
              <w:rPr>
                <w:sz w:val="22"/>
              </w:rPr>
              <w:t>Employment and Employment Training</w:t>
            </w:r>
          </w:p>
        </w:tc>
        <w:tc>
          <w:tcPr>
            <w:tcW w:w="2110" w:type="dxa"/>
          </w:tcPr>
          <w:p>
            <w:pPr>
              <w:pStyle w:val="TableParagraph"/>
              <w:spacing w:before="1"/>
              <w:ind w:left="9"/>
              <w:jc w:val="center"/>
              <w:rPr>
                <w:sz w:val="22"/>
              </w:rPr>
            </w:pPr>
            <w:r>
              <w:rPr>
                <w:sz w:val="22"/>
              </w:rPr>
              <w:t>X</w:t>
            </w:r>
          </w:p>
        </w:tc>
        <w:tc>
          <w:tcPr>
            <w:tcW w:w="2110" w:type="dxa"/>
          </w:tcPr>
          <w:p>
            <w:pPr>
              <w:pStyle w:val="TableParagraph"/>
              <w:spacing w:before="1"/>
              <w:ind w:right="983"/>
              <w:jc w:val="right"/>
              <w:rPr>
                <w:sz w:val="22"/>
              </w:rPr>
            </w:pPr>
            <w:r>
              <w:rPr>
                <w:sz w:val="22"/>
              </w:rPr>
              <w:t>X</w:t>
            </w:r>
          </w:p>
        </w:tc>
        <w:tc>
          <w:tcPr>
            <w:tcW w:w="2110" w:type="dxa"/>
          </w:tcPr>
          <w:p>
            <w:pPr>
              <w:pStyle w:val="TableParagraph"/>
              <w:rPr>
                <w:rFonts w:ascii="Times New Roman"/>
                <w:sz w:val="22"/>
              </w:rPr>
            </w:pPr>
          </w:p>
        </w:tc>
      </w:tr>
      <w:tr>
        <w:trPr>
          <w:trHeight w:val="255" w:hRule="atLeast"/>
        </w:trPr>
        <w:tc>
          <w:tcPr>
            <w:tcW w:w="3020" w:type="dxa"/>
          </w:tcPr>
          <w:p>
            <w:pPr>
              <w:pStyle w:val="TableParagraph"/>
              <w:spacing w:line="236" w:lineRule="exact"/>
              <w:ind w:left="112"/>
              <w:rPr>
                <w:sz w:val="22"/>
              </w:rPr>
            </w:pPr>
            <w:r>
              <w:rPr>
                <w:sz w:val="22"/>
              </w:rPr>
              <w:t>Healthcare</w:t>
            </w:r>
          </w:p>
        </w:tc>
        <w:tc>
          <w:tcPr>
            <w:tcW w:w="2110" w:type="dxa"/>
          </w:tcPr>
          <w:p>
            <w:pPr>
              <w:pStyle w:val="TableParagraph"/>
              <w:spacing w:line="236" w:lineRule="exact"/>
              <w:ind w:left="9"/>
              <w:jc w:val="center"/>
              <w:rPr>
                <w:sz w:val="22"/>
              </w:rPr>
            </w:pPr>
            <w:r>
              <w:rPr>
                <w:sz w:val="22"/>
              </w:rPr>
              <w:t>X</w:t>
            </w:r>
          </w:p>
        </w:tc>
        <w:tc>
          <w:tcPr>
            <w:tcW w:w="2110" w:type="dxa"/>
          </w:tcPr>
          <w:p>
            <w:pPr>
              <w:pStyle w:val="TableParagraph"/>
              <w:spacing w:line="236" w:lineRule="exact"/>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HIV/AIDS</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spacing w:line="242" w:lineRule="exact" w:before="1"/>
              <w:ind w:left="9"/>
              <w:jc w:val="center"/>
              <w:rPr>
                <w:sz w:val="22"/>
              </w:rPr>
            </w:pPr>
            <w:r>
              <w:rPr>
                <w:sz w:val="22"/>
              </w:rPr>
              <w:t>X</w:t>
            </w:r>
          </w:p>
        </w:tc>
      </w:tr>
      <w:tr>
        <w:trPr>
          <w:trHeight w:val="263" w:hRule="atLeast"/>
        </w:trPr>
        <w:tc>
          <w:tcPr>
            <w:tcW w:w="3020" w:type="dxa"/>
          </w:tcPr>
          <w:p>
            <w:pPr>
              <w:pStyle w:val="TableParagraph"/>
              <w:spacing w:line="242" w:lineRule="exact" w:before="1"/>
              <w:ind w:left="112"/>
              <w:rPr>
                <w:sz w:val="22"/>
              </w:rPr>
            </w:pPr>
            <w:r>
              <w:rPr>
                <w:sz w:val="22"/>
              </w:rPr>
              <w:t>Life Skills</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spacing w:line="242" w:lineRule="exact" w:before="1"/>
              <w:ind w:left="9"/>
              <w:jc w:val="center"/>
              <w:rPr>
                <w:sz w:val="22"/>
              </w:rPr>
            </w:pPr>
            <w:r>
              <w:rPr>
                <w:sz w:val="22"/>
              </w:rPr>
              <w:t>X</w:t>
            </w:r>
          </w:p>
        </w:tc>
      </w:tr>
      <w:tr>
        <w:trPr>
          <w:trHeight w:val="263" w:hRule="atLeast"/>
        </w:trPr>
        <w:tc>
          <w:tcPr>
            <w:tcW w:w="3020" w:type="dxa"/>
          </w:tcPr>
          <w:p>
            <w:pPr>
              <w:pStyle w:val="TableParagraph"/>
              <w:spacing w:line="242" w:lineRule="exact" w:before="1"/>
              <w:ind w:left="112"/>
              <w:rPr>
                <w:sz w:val="22"/>
              </w:rPr>
            </w:pPr>
            <w:r>
              <w:rPr>
                <w:sz w:val="22"/>
              </w:rPr>
              <w:t>Mental Health Counseling</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r>
        <w:trPr>
          <w:trHeight w:val="263" w:hRule="atLeast"/>
        </w:trPr>
        <w:tc>
          <w:tcPr>
            <w:tcW w:w="3020" w:type="dxa"/>
          </w:tcPr>
          <w:p>
            <w:pPr>
              <w:pStyle w:val="TableParagraph"/>
              <w:spacing w:line="242" w:lineRule="exact" w:before="1"/>
              <w:ind w:left="112"/>
              <w:rPr>
                <w:sz w:val="22"/>
              </w:rPr>
            </w:pPr>
            <w:r>
              <w:rPr>
                <w:sz w:val="22"/>
              </w:rPr>
              <w:t>Transportation</w:t>
            </w:r>
          </w:p>
        </w:tc>
        <w:tc>
          <w:tcPr>
            <w:tcW w:w="2110" w:type="dxa"/>
          </w:tcPr>
          <w:p>
            <w:pPr>
              <w:pStyle w:val="TableParagraph"/>
              <w:spacing w:line="242" w:lineRule="exact" w:before="1"/>
              <w:ind w:left="9"/>
              <w:jc w:val="center"/>
              <w:rPr>
                <w:sz w:val="22"/>
              </w:rPr>
            </w:pPr>
            <w:r>
              <w:rPr>
                <w:sz w:val="22"/>
              </w:rPr>
              <w:t>X</w:t>
            </w:r>
          </w:p>
        </w:tc>
        <w:tc>
          <w:tcPr>
            <w:tcW w:w="2110" w:type="dxa"/>
          </w:tcPr>
          <w:p>
            <w:pPr>
              <w:pStyle w:val="TableParagraph"/>
              <w:spacing w:line="242" w:lineRule="exact" w:before="1"/>
              <w:ind w:right="983"/>
              <w:jc w:val="right"/>
              <w:rPr>
                <w:sz w:val="22"/>
              </w:rPr>
            </w:pPr>
            <w:r>
              <w:rPr>
                <w:sz w:val="22"/>
              </w:rPr>
              <w:t>X</w:t>
            </w:r>
          </w:p>
        </w:tc>
        <w:tc>
          <w:tcPr>
            <w:tcW w:w="2110" w:type="dxa"/>
          </w:tcPr>
          <w:p>
            <w:pPr>
              <w:pStyle w:val="TableParagraph"/>
              <w:rPr>
                <w:rFonts w:ascii="Times New Roman"/>
                <w:sz w:val="18"/>
              </w:rPr>
            </w:pPr>
          </w:p>
        </w:tc>
      </w:tr>
    </w:tbl>
    <w:p>
      <w:pPr>
        <w:pStyle w:val="BodyText"/>
        <w:spacing w:before="3"/>
        <w:rPr>
          <w:b/>
          <w:sz w:val="25"/>
        </w:rPr>
      </w:pPr>
    </w:p>
    <w:tbl>
      <w:tblPr>
        <w:tblW w:w="0" w:type="auto"/>
        <w:jc w:val="left"/>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0"/>
        <w:gridCol w:w="2110"/>
        <w:gridCol w:w="2110"/>
        <w:gridCol w:w="2110"/>
      </w:tblGrid>
      <w:tr>
        <w:trPr>
          <w:trHeight w:val="263" w:hRule="atLeast"/>
        </w:trPr>
        <w:tc>
          <w:tcPr>
            <w:tcW w:w="9350" w:type="dxa"/>
            <w:gridSpan w:val="4"/>
          </w:tcPr>
          <w:p>
            <w:pPr>
              <w:pStyle w:val="TableParagraph"/>
              <w:spacing w:line="242" w:lineRule="exact" w:before="1"/>
              <w:ind w:left="3082" w:right="3073"/>
              <w:jc w:val="center"/>
              <w:rPr>
                <w:b/>
                <w:sz w:val="22"/>
              </w:rPr>
            </w:pPr>
            <w:r>
              <w:rPr>
                <w:b/>
                <w:sz w:val="22"/>
              </w:rPr>
              <w:t>Other</w:t>
            </w:r>
          </w:p>
        </w:tc>
      </w:tr>
      <w:tr>
        <w:trPr>
          <w:trHeight w:val="303" w:hRule="atLeast"/>
        </w:trPr>
        <w:tc>
          <w:tcPr>
            <w:tcW w:w="302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c>
          <w:tcPr>
            <w:tcW w:w="2110" w:type="dxa"/>
          </w:tcPr>
          <w:p>
            <w:pPr>
              <w:pStyle w:val="TableParagraph"/>
              <w:rPr>
                <w:rFonts w:ascii="Times New Roman"/>
                <w:sz w:val="22"/>
              </w:rPr>
            </w:pPr>
          </w:p>
        </w:tc>
      </w:tr>
      <w:tr>
        <w:trPr>
          <w:trHeight w:val="263" w:hRule="atLeast"/>
        </w:trPr>
        <w:tc>
          <w:tcPr>
            <w:tcW w:w="3020" w:type="dxa"/>
          </w:tcPr>
          <w:p>
            <w:pPr>
              <w:pStyle w:val="TableParagraph"/>
              <w:spacing w:line="242" w:lineRule="exact" w:before="1"/>
              <w:ind w:left="112"/>
              <w:rPr>
                <w:sz w:val="22"/>
              </w:rPr>
            </w:pPr>
            <w:r>
              <w:rPr>
                <w:sz w:val="22"/>
              </w:rPr>
              <w:t>Other</w:t>
            </w:r>
          </w:p>
        </w:tc>
        <w:tc>
          <w:tcPr>
            <w:tcW w:w="2110" w:type="dxa"/>
          </w:tcPr>
          <w:p>
            <w:pPr>
              <w:pStyle w:val="TableParagraph"/>
              <w:rPr>
                <w:rFonts w:ascii="Times New Roman"/>
                <w:sz w:val="18"/>
              </w:rPr>
            </w:pPr>
          </w:p>
        </w:tc>
        <w:tc>
          <w:tcPr>
            <w:tcW w:w="2110" w:type="dxa"/>
          </w:tcPr>
          <w:p>
            <w:pPr>
              <w:pStyle w:val="TableParagraph"/>
              <w:rPr>
                <w:rFonts w:ascii="Times New Roman"/>
                <w:sz w:val="18"/>
              </w:rPr>
            </w:pPr>
          </w:p>
        </w:tc>
        <w:tc>
          <w:tcPr>
            <w:tcW w:w="2110" w:type="dxa"/>
          </w:tcPr>
          <w:p>
            <w:pPr>
              <w:pStyle w:val="TableParagraph"/>
              <w:rPr>
                <w:rFonts w:ascii="Times New Roman"/>
                <w:sz w:val="18"/>
              </w:rPr>
            </w:pPr>
          </w:p>
        </w:tc>
      </w:tr>
    </w:tbl>
    <w:p>
      <w:pPr>
        <w:spacing w:before="0"/>
        <w:ind w:left="2471" w:right="0" w:firstLine="0"/>
        <w:jc w:val="left"/>
        <w:rPr>
          <w:rFonts w:ascii="Arial"/>
          <w:b/>
          <w:sz w:val="20"/>
        </w:rPr>
      </w:pPr>
      <w:r>
        <w:rPr>
          <w:rFonts w:ascii="Arial"/>
          <w:b/>
          <w:sz w:val="20"/>
        </w:rPr>
        <w:t>Table 57 - Homeless Prevention Services Summary</w:t>
      </w:r>
    </w:p>
    <w:p>
      <w:pPr>
        <w:pStyle w:val="BodyText"/>
        <w:rPr>
          <w:rFonts w:ascii="Arial"/>
          <w:b/>
        </w:rPr>
      </w:pPr>
    </w:p>
    <w:p>
      <w:pPr>
        <w:pStyle w:val="BodyText"/>
        <w:rPr>
          <w:rFonts w:ascii="Arial"/>
          <w:b/>
          <w:sz w:val="25"/>
        </w:rPr>
      </w:pPr>
    </w:p>
    <w:p>
      <w:pPr>
        <w:pStyle w:val="Heading4"/>
        <w:spacing w:line="276" w:lineRule="auto" w:before="1"/>
        <w:ind w:right="1394"/>
      </w:pPr>
      <w:r>
        <w:rPr/>
        <w:t>Describe how the service delivery system including, but not limited to, the services listed above meet the needs of homeless persons (particularly chronically homeless individuals and families, families with children, veterans and their families, and unaccompanied youth)</w:t>
      </w:r>
    </w:p>
    <w:p>
      <w:pPr>
        <w:pStyle w:val="BodyText"/>
        <w:spacing w:before="3"/>
        <w:rPr>
          <w:b/>
          <w:sz w:val="19"/>
        </w:rPr>
      </w:pPr>
    </w:p>
    <w:p>
      <w:pPr>
        <w:pStyle w:val="BodyText"/>
        <w:spacing w:line="276" w:lineRule="auto"/>
        <w:ind w:left="220" w:right="1362"/>
        <w:rPr>
          <w:rFonts w:ascii="Arial"/>
        </w:rPr>
      </w:pPr>
      <w:r>
        <w:rPr>
          <w:rFonts w:ascii="Arial"/>
        </w:rPr>
        <w:t>Almost all homeless service providers listed in MA-30 provide homelessness prevention services and most supportive services. Street outreach programs are delivered by Shalom Community Center for homeless adults, New Hope Family Shelter for families with children, and the Bloomington Police Department. It is also important to note that these outreach efforts are made possible through a large network of community partners that do not solely provide services addressing homelessness.</w:t>
      </w:r>
    </w:p>
    <w:p>
      <w:pPr>
        <w:pStyle w:val="BodyText"/>
        <w:spacing w:before="10"/>
        <w:rPr>
          <w:rFonts w:ascii="Arial"/>
          <w:sz w:val="20"/>
        </w:rPr>
      </w:pPr>
    </w:p>
    <w:p>
      <w:pPr>
        <w:pStyle w:val="BodyText"/>
        <w:spacing w:line="276" w:lineRule="auto"/>
        <w:ind w:left="220" w:right="1411"/>
        <w:rPr>
          <w:rFonts w:ascii="Arial" w:hAnsi="Arial"/>
        </w:rPr>
      </w:pPr>
      <w:r>
        <w:rPr>
          <w:rFonts w:ascii="Arial" w:hAnsi="Arial"/>
        </w:rPr>
        <w:t>Bloomington’s HIV/AIDS population is primarily served through IU Health Positive Link. Positive Link provides a continuum of services for those impacted by HIV in Indiana. Services include a weekly primary care and PrEP clinic, prevention services such as education, testing and counseling, and referrals to partnering organizations for necessities such as housing, emergency assistance, and nutrition assistance.</w:t>
      </w:r>
    </w:p>
    <w:p>
      <w:pPr>
        <w:spacing w:after="0" w:line="276" w:lineRule="auto"/>
        <w:rPr>
          <w:rFonts w:ascii="Arial" w:hAnsi="Arial"/>
        </w:rPr>
        <w:sectPr>
          <w:headerReference w:type="default" r:id="rId121"/>
          <w:footerReference w:type="default" r:id="rId122"/>
          <w:pgSz w:w="12240" w:h="15840"/>
          <w:pgMar w:header="0" w:footer="1340" w:top="1500" w:bottom="1540" w:left="1220" w:right="100"/>
          <w:pgNumType w:start="104"/>
        </w:sectPr>
      </w:pPr>
    </w:p>
    <w:p>
      <w:pPr>
        <w:pStyle w:val="Heading4"/>
        <w:spacing w:line="276" w:lineRule="auto" w:before="24"/>
        <w:ind w:right="1612"/>
      </w:pPr>
      <w:r>
        <w:rPr/>
        <w:t>Describe the strengths and gaps of the service delivery system for special needs population and persons experiencing homelessness, including, but not limited to, the services listed above</w:t>
      </w:r>
    </w:p>
    <w:p>
      <w:pPr>
        <w:pStyle w:val="BodyText"/>
        <w:spacing w:line="276" w:lineRule="auto" w:before="196"/>
        <w:ind w:left="220" w:right="1608"/>
        <w:rPr>
          <w:rFonts w:ascii="Arial" w:hAnsi="Arial"/>
        </w:rPr>
      </w:pPr>
      <w:r>
        <w:rPr>
          <w:rFonts w:ascii="Arial" w:hAnsi="Arial"/>
        </w:rPr>
        <w:t>The strengths of the service delivery system for special needs populations and persons experiencing homelessness are the variety of service agencies that exist to meet their </w:t>
      </w:r>
      <w:r>
        <w:rPr>
          <w:rFonts w:ascii="Arial" w:hAnsi="Arial"/>
          <w:spacing w:val="-4"/>
        </w:rPr>
        <w:t>needs </w:t>
      </w:r>
      <w:r>
        <w:rPr>
          <w:rFonts w:ascii="Arial" w:hAnsi="Arial"/>
        </w:rPr>
        <w:t>and the dedication of service agency staffs in attempting to address their clients’ needs.</w:t>
      </w:r>
    </w:p>
    <w:p>
      <w:pPr>
        <w:pStyle w:val="BodyText"/>
        <w:spacing w:before="10"/>
        <w:rPr>
          <w:rFonts w:ascii="Arial"/>
          <w:sz w:val="20"/>
        </w:rPr>
      </w:pPr>
    </w:p>
    <w:p>
      <w:pPr>
        <w:pStyle w:val="BodyText"/>
        <w:spacing w:line="276" w:lineRule="auto"/>
        <w:ind w:left="220" w:right="1322"/>
        <w:rPr>
          <w:rFonts w:ascii="Arial" w:hAnsi="Arial"/>
        </w:rPr>
      </w:pPr>
      <w:r>
        <w:rPr>
          <w:rFonts w:ascii="Arial" w:hAnsi="Arial"/>
        </w:rPr>
        <w:t>The gaps in the service delivery system are chiefly a lack of, or very limited, resources — both financial and human (staffing). Most agencies interviewed during the Consolidated Plan </w:t>
      </w:r>
      <w:r>
        <w:rPr>
          <w:rFonts w:ascii="Arial" w:hAnsi="Arial"/>
          <w:spacing w:val="-3"/>
        </w:rPr>
        <w:t>process </w:t>
      </w:r>
      <w:r>
        <w:rPr>
          <w:rFonts w:ascii="Arial" w:hAnsi="Arial"/>
        </w:rPr>
        <w:t>cited increased demand for services and reduced resources as major obstacles to meeting the City of Bloomington’s human service needs. The City’s HOME-ARP Allocation Plan identified service navigation for households experiencing and at-risk of homelessness as a need.</w:t>
      </w:r>
    </w:p>
    <w:p>
      <w:pPr>
        <w:pStyle w:val="BodyText"/>
        <w:spacing w:line="276" w:lineRule="auto"/>
        <w:ind w:left="220" w:right="1452"/>
        <w:jc w:val="both"/>
        <w:rPr>
          <w:rFonts w:ascii="Arial"/>
        </w:rPr>
      </w:pPr>
      <w:r>
        <w:rPr>
          <w:rFonts w:ascii="Arial"/>
        </w:rPr>
        <w:t>Specifically, ensuring these vulnerable populations have adequate access to medical treatment and basic needs; housing and service navigation; housing cost assistance; eviction prevention; mental health, substance abuse and other supportive services.</w:t>
      </w:r>
    </w:p>
    <w:p>
      <w:pPr>
        <w:pStyle w:val="BodyText"/>
        <w:spacing w:before="3"/>
        <w:rPr>
          <w:rFonts w:ascii="Arial"/>
          <w:sz w:val="21"/>
        </w:rPr>
      </w:pPr>
    </w:p>
    <w:p>
      <w:pPr>
        <w:pStyle w:val="Heading4"/>
        <w:spacing w:line="276" w:lineRule="auto"/>
        <w:ind w:right="1862"/>
      </w:pPr>
      <w:r>
        <w:rPr/>
        <w:t>Provide a summary of the strategy for overcoming gaps in the institutional structure and service delivery system for carrying out a strategy to address priority needs</w:t>
      </w:r>
    </w:p>
    <w:p>
      <w:pPr>
        <w:pStyle w:val="BodyText"/>
        <w:spacing w:line="276" w:lineRule="auto" w:before="195"/>
        <w:ind w:left="220" w:right="1380"/>
        <w:rPr>
          <w:rFonts w:ascii="Arial"/>
        </w:rPr>
      </w:pPr>
      <w:r>
        <w:rPr>
          <w:rFonts w:ascii="Arial"/>
        </w:rPr>
        <w:t>Because the primary gaps are related to a lack of resources for service delivery, the City of Bloomington will continue to collaborate with human and social service agencies and the Continuum of Care to identify potential resources for meeting the service needs of City residents. The City will support the efforts of service agencies to obtain any available resources. The City will also continue to support and encourage the development of new affordable housing units.</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16"/>
        </w:rPr>
      </w:pPr>
    </w:p>
    <w:p>
      <w:pPr>
        <w:spacing w:after="0"/>
        <w:rPr>
          <w:rFonts w:ascii="Arial"/>
          <w:sz w:val="16"/>
        </w:rPr>
        <w:sectPr>
          <w:headerReference w:type="default" r:id="rId123"/>
          <w:footerReference w:type="default" r:id="rId124"/>
          <w:pgSz w:w="12240" w:h="15840"/>
          <w:pgMar w:header="0" w:footer="726" w:top="1420" w:bottom="920" w:left="1220" w:right="100"/>
        </w:sectPr>
      </w:pPr>
    </w:p>
    <w:p>
      <w:pPr>
        <w:pStyle w:val="BodyText"/>
        <w:spacing w:before="56"/>
        <w:ind w:left="236" w:right="21" w:firstLine="99"/>
      </w:pPr>
      <w:r>
        <w:rPr/>
        <w:t>Consolidated Plan</w:t>
      </w:r>
    </w:p>
    <w:p>
      <w:pPr>
        <w:pStyle w:val="BodyText"/>
        <w:tabs>
          <w:tab w:pos="5638" w:val="right" w:leader="none"/>
        </w:tabs>
        <w:spacing w:before="56"/>
        <w:ind w:left="236"/>
      </w:pPr>
      <w:r>
        <w:rPr/>
        <w:br w:type="column"/>
      </w:r>
      <w:r>
        <w:rPr/>
        <w:t>BLOOMINGTON</w:t>
        <w:tab/>
        <w:t>105</w:t>
      </w:r>
    </w:p>
    <w:p>
      <w:pPr>
        <w:spacing w:after="0"/>
        <w:sectPr>
          <w:type w:val="continuous"/>
          <w:pgSz w:w="12240" w:h="15840"/>
          <w:pgMar w:top="1340" w:bottom="1520" w:left="1220" w:right="100"/>
          <w:cols w:num="2" w:equalWidth="0">
            <w:col w:w="1548" w:space="2279"/>
            <w:col w:w="7093"/>
          </w:cols>
        </w:sectPr>
      </w:pPr>
    </w:p>
    <w:p>
      <w:pPr>
        <w:pStyle w:val="Heading1"/>
        <w:spacing w:before="466"/>
      </w:pPr>
      <w:bookmarkStart w:name="_TOC_250014" w:id="8"/>
      <w:bookmarkEnd w:id="8"/>
      <w:r>
        <w:rPr>
          <w:color w:val="0E4661"/>
        </w:rPr>
        <w:t>SP-45 Goals Summary – 91.215(a)(4)</w:t>
      </w:r>
    </w:p>
    <w:p>
      <w:pPr>
        <w:pStyle w:val="Heading4"/>
        <w:spacing w:before="137"/>
      </w:pPr>
      <w:r>
        <w:rPr/>
        <w:t>Goals Summary Information</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3"/>
        <w:gridCol w:w="2429"/>
        <w:gridCol w:w="663"/>
        <w:gridCol w:w="663"/>
        <w:gridCol w:w="1742"/>
        <w:gridCol w:w="1164"/>
        <w:gridCol w:w="2644"/>
        <w:gridCol w:w="1320"/>
        <w:gridCol w:w="2394"/>
      </w:tblGrid>
      <w:tr>
        <w:trPr>
          <w:trHeight w:val="727" w:hRule="atLeast"/>
        </w:trPr>
        <w:tc>
          <w:tcPr>
            <w:tcW w:w="703" w:type="dxa"/>
          </w:tcPr>
          <w:p>
            <w:pPr>
              <w:pStyle w:val="TableParagraph"/>
              <w:spacing w:line="240" w:lineRule="atLeast" w:before="1"/>
              <w:ind w:left="141" w:right="129"/>
              <w:jc w:val="center"/>
              <w:rPr>
                <w:b/>
                <w:sz w:val="20"/>
              </w:rPr>
            </w:pPr>
            <w:r>
              <w:rPr>
                <w:b/>
                <w:sz w:val="20"/>
              </w:rPr>
              <w:t>Sort Orde r</w:t>
            </w:r>
          </w:p>
        </w:tc>
        <w:tc>
          <w:tcPr>
            <w:tcW w:w="2429" w:type="dxa"/>
          </w:tcPr>
          <w:p>
            <w:pPr>
              <w:pStyle w:val="TableParagraph"/>
              <w:spacing w:before="1"/>
              <w:ind w:left="751"/>
              <w:rPr>
                <w:b/>
                <w:sz w:val="20"/>
              </w:rPr>
            </w:pPr>
            <w:r>
              <w:rPr>
                <w:b/>
                <w:sz w:val="20"/>
              </w:rPr>
              <w:t>Goal Name</w:t>
            </w:r>
          </w:p>
        </w:tc>
        <w:tc>
          <w:tcPr>
            <w:tcW w:w="663" w:type="dxa"/>
          </w:tcPr>
          <w:p>
            <w:pPr>
              <w:pStyle w:val="TableParagraph"/>
              <w:spacing w:before="1"/>
              <w:ind w:left="141" w:right="98" w:hanging="15"/>
              <w:rPr>
                <w:b/>
                <w:sz w:val="20"/>
              </w:rPr>
            </w:pPr>
            <w:r>
              <w:rPr>
                <w:b/>
                <w:sz w:val="20"/>
              </w:rPr>
              <w:t>Start Year</w:t>
            </w:r>
          </w:p>
        </w:tc>
        <w:tc>
          <w:tcPr>
            <w:tcW w:w="663" w:type="dxa"/>
          </w:tcPr>
          <w:p>
            <w:pPr>
              <w:pStyle w:val="TableParagraph"/>
              <w:spacing w:before="1"/>
              <w:ind w:left="141" w:right="112" w:firstLine="31"/>
              <w:rPr>
                <w:b/>
                <w:sz w:val="20"/>
              </w:rPr>
            </w:pPr>
            <w:r>
              <w:rPr>
                <w:b/>
                <w:sz w:val="20"/>
              </w:rPr>
              <w:t>End Year</w:t>
            </w:r>
          </w:p>
        </w:tc>
        <w:tc>
          <w:tcPr>
            <w:tcW w:w="1742" w:type="dxa"/>
          </w:tcPr>
          <w:p>
            <w:pPr>
              <w:pStyle w:val="TableParagraph"/>
              <w:spacing w:before="1"/>
              <w:ind w:left="497"/>
              <w:rPr>
                <w:b/>
                <w:sz w:val="20"/>
              </w:rPr>
            </w:pPr>
            <w:r>
              <w:rPr>
                <w:b/>
                <w:sz w:val="20"/>
              </w:rPr>
              <w:t>Category</w:t>
            </w:r>
          </w:p>
        </w:tc>
        <w:tc>
          <w:tcPr>
            <w:tcW w:w="1164" w:type="dxa"/>
          </w:tcPr>
          <w:p>
            <w:pPr>
              <w:pStyle w:val="TableParagraph"/>
              <w:spacing w:before="1"/>
              <w:ind w:left="319" w:right="117" w:hanging="172"/>
              <w:rPr>
                <w:b/>
                <w:sz w:val="20"/>
              </w:rPr>
            </w:pPr>
            <w:r>
              <w:rPr>
                <w:b/>
                <w:sz w:val="20"/>
              </w:rPr>
              <w:t>Geographi c Area</w:t>
            </w:r>
          </w:p>
        </w:tc>
        <w:tc>
          <w:tcPr>
            <w:tcW w:w="2644" w:type="dxa"/>
          </w:tcPr>
          <w:p>
            <w:pPr>
              <w:pStyle w:val="TableParagraph"/>
              <w:spacing w:before="1"/>
              <w:ind w:left="599"/>
              <w:rPr>
                <w:b/>
                <w:sz w:val="20"/>
              </w:rPr>
            </w:pPr>
            <w:r>
              <w:rPr>
                <w:b/>
                <w:sz w:val="20"/>
              </w:rPr>
              <w:t>Needs Addressed</w:t>
            </w:r>
          </w:p>
        </w:tc>
        <w:tc>
          <w:tcPr>
            <w:tcW w:w="1320" w:type="dxa"/>
          </w:tcPr>
          <w:p>
            <w:pPr>
              <w:pStyle w:val="TableParagraph"/>
              <w:spacing w:before="1"/>
              <w:ind w:left="324"/>
              <w:rPr>
                <w:b/>
                <w:sz w:val="20"/>
              </w:rPr>
            </w:pPr>
            <w:r>
              <w:rPr>
                <w:b/>
                <w:sz w:val="20"/>
              </w:rPr>
              <w:t>Funding</w:t>
            </w:r>
          </w:p>
        </w:tc>
        <w:tc>
          <w:tcPr>
            <w:tcW w:w="2394" w:type="dxa"/>
          </w:tcPr>
          <w:p>
            <w:pPr>
              <w:pStyle w:val="TableParagraph"/>
              <w:spacing w:before="1"/>
              <w:ind w:left="200"/>
              <w:rPr>
                <w:b/>
                <w:sz w:val="20"/>
              </w:rPr>
            </w:pPr>
            <w:r>
              <w:rPr>
                <w:b/>
                <w:sz w:val="20"/>
              </w:rPr>
              <w:t>Goal Outcome Indicator</w:t>
            </w:r>
          </w:p>
        </w:tc>
      </w:tr>
      <w:tr>
        <w:trPr>
          <w:trHeight w:val="1195" w:hRule="atLeast"/>
        </w:trPr>
        <w:tc>
          <w:tcPr>
            <w:tcW w:w="703" w:type="dxa"/>
          </w:tcPr>
          <w:p>
            <w:pPr>
              <w:pStyle w:val="TableParagraph"/>
              <w:spacing w:line="264" w:lineRule="exact"/>
              <w:ind w:left="112"/>
              <w:rPr>
                <w:b/>
                <w:sz w:val="22"/>
              </w:rPr>
            </w:pPr>
            <w:r>
              <w:rPr>
                <w:b/>
                <w:sz w:val="22"/>
              </w:rPr>
              <w:t>1</w:t>
            </w:r>
          </w:p>
        </w:tc>
        <w:tc>
          <w:tcPr>
            <w:tcW w:w="2429" w:type="dxa"/>
          </w:tcPr>
          <w:p>
            <w:pPr>
              <w:pStyle w:val="TableParagraph"/>
              <w:spacing w:line="276" w:lineRule="auto"/>
              <w:ind w:left="112" w:right="260"/>
              <w:rPr>
                <w:sz w:val="22"/>
              </w:rPr>
            </w:pPr>
            <w:r>
              <w:rPr>
                <w:sz w:val="22"/>
              </w:rPr>
              <w:t>Increase Access to and Quality of Affordable Rental Housing</w:t>
            </w:r>
          </w:p>
        </w:tc>
        <w:tc>
          <w:tcPr>
            <w:tcW w:w="663" w:type="dxa"/>
          </w:tcPr>
          <w:p>
            <w:pPr>
              <w:pStyle w:val="TableParagraph"/>
              <w:spacing w:line="264" w:lineRule="exact"/>
              <w:ind w:right="100"/>
              <w:jc w:val="right"/>
              <w:rPr>
                <w:sz w:val="22"/>
              </w:rPr>
            </w:pPr>
            <w:r>
              <w:rPr>
                <w:sz w:val="22"/>
              </w:rPr>
              <w:t>202</w:t>
            </w:r>
          </w:p>
          <w:p>
            <w:pPr>
              <w:pStyle w:val="TableParagraph"/>
              <w:spacing w:before="40"/>
              <w:ind w:right="100"/>
              <w:jc w:val="right"/>
              <w:rPr>
                <w:sz w:val="22"/>
              </w:rPr>
            </w:pPr>
            <w:r>
              <w:rPr>
                <w:sz w:val="22"/>
              </w:rPr>
              <w:t>5</w:t>
            </w:r>
          </w:p>
        </w:tc>
        <w:tc>
          <w:tcPr>
            <w:tcW w:w="663" w:type="dxa"/>
          </w:tcPr>
          <w:p>
            <w:pPr>
              <w:pStyle w:val="TableParagraph"/>
              <w:spacing w:line="264" w:lineRule="exact"/>
              <w:ind w:right="100"/>
              <w:jc w:val="right"/>
              <w:rPr>
                <w:sz w:val="22"/>
              </w:rPr>
            </w:pPr>
            <w:r>
              <w:rPr>
                <w:sz w:val="22"/>
              </w:rPr>
              <w:t>202</w:t>
            </w:r>
          </w:p>
          <w:p>
            <w:pPr>
              <w:pStyle w:val="TableParagraph"/>
              <w:spacing w:before="40"/>
              <w:ind w:right="100"/>
              <w:jc w:val="right"/>
              <w:rPr>
                <w:sz w:val="22"/>
              </w:rPr>
            </w:pPr>
            <w:r>
              <w:rPr>
                <w:sz w:val="22"/>
              </w:rPr>
              <w:t>9</w:t>
            </w:r>
          </w:p>
        </w:tc>
        <w:tc>
          <w:tcPr>
            <w:tcW w:w="1742" w:type="dxa"/>
          </w:tcPr>
          <w:p>
            <w:pPr>
              <w:pStyle w:val="TableParagraph"/>
              <w:spacing w:line="276" w:lineRule="auto"/>
              <w:ind w:left="112" w:right="644"/>
              <w:rPr>
                <w:sz w:val="22"/>
              </w:rPr>
            </w:pPr>
            <w:r>
              <w:rPr>
                <w:sz w:val="22"/>
              </w:rPr>
              <w:t>Affordable Housing</w:t>
            </w:r>
          </w:p>
        </w:tc>
        <w:tc>
          <w:tcPr>
            <w:tcW w:w="1164" w:type="dxa"/>
          </w:tcPr>
          <w:p>
            <w:pPr>
              <w:pStyle w:val="TableParagraph"/>
              <w:rPr>
                <w:rFonts w:ascii="Times New Roman"/>
                <w:sz w:val="20"/>
              </w:rPr>
            </w:pPr>
          </w:p>
        </w:tc>
        <w:tc>
          <w:tcPr>
            <w:tcW w:w="2644" w:type="dxa"/>
          </w:tcPr>
          <w:p>
            <w:pPr>
              <w:pStyle w:val="TableParagraph"/>
              <w:spacing w:line="276" w:lineRule="auto"/>
              <w:ind w:left="112" w:right="475"/>
              <w:rPr>
                <w:sz w:val="22"/>
              </w:rPr>
            </w:pPr>
            <w:r>
              <w:rPr>
                <w:sz w:val="22"/>
              </w:rPr>
              <w:t>Increase Access to and Quality of Affordable Rental Housing</w:t>
            </w:r>
          </w:p>
        </w:tc>
        <w:tc>
          <w:tcPr>
            <w:tcW w:w="1320" w:type="dxa"/>
          </w:tcPr>
          <w:p>
            <w:pPr>
              <w:pStyle w:val="TableParagraph"/>
              <w:spacing w:line="276" w:lineRule="auto"/>
              <w:ind w:left="312" w:right="82" w:firstLine="91"/>
              <w:rPr>
                <w:sz w:val="22"/>
              </w:rPr>
            </w:pPr>
            <w:r>
              <w:rPr>
                <w:sz w:val="22"/>
              </w:rPr>
              <w:t>HOME: $ 2,542,500</w:t>
            </w:r>
          </w:p>
        </w:tc>
        <w:tc>
          <w:tcPr>
            <w:tcW w:w="2394" w:type="dxa"/>
          </w:tcPr>
          <w:p>
            <w:pPr>
              <w:pStyle w:val="TableParagraph"/>
              <w:spacing w:line="276" w:lineRule="auto"/>
              <w:ind w:left="112" w:right="770"/>
              <w:rPr>
                <w:sz w:val="22"/>
              </w:rPr>
            </w:pPr>
            <w:r>
              <w:rPr>
                <w:sz w:val="22"/>
              </w:rPr>
              <w:t>Rental Units Constructed 500 housing units</w:t>
            </w:r>
          </w:p>
        </w:tc>
      </w:tr>
      <w:tr>
        <w:trPr>
          <w:trHeight w:val="295" w:hRule="atLeast"/>
        </w:trPr>
        <w:tc>
          <w:tcPr>
            <w:tcW w:w="703" w:type="dxa"/>
            <w:tcBorders>
              <w:bottom w:val="nil"/>
            </w:tcBorders>
          </w:tcPr>
          <w:p>
            <w:pPr>
              <w:pStyle w:val="TableParagraph"/>
              <w:spacing w:before="1"/>
              <w:ind w:left="112"/>
              <w:rPr>
                <w:b/>
                <w:sz w:val="22"/>
              </w:rPr>
            </w:pPr>
            <w:r>
              <w:rPr>
                <w:b/>
                <w:sz w:val="22"/>
              </w:rPr>
              <w:t>2</w:t>
            </w:r>
          </w:p>
        </w:tc>
        <w:tc>
          <w:tcPr>
            <w:tcW w:w="2429" w:type="dxa"/>
            <w:tcBorders>
              <w:bottom w:val="nil"/>
            </w:tcBorders>
          </w:tcPr>
          <w:p>
            <w:pPr>
              <w:pStyle w:val="TableParagraph"/>
              <w:spacing w:before="1"/>
              <w:ind w:left="112"/>
              <w:rPr>
                <w:sz w:val="22"/>
              </w:rPr>
            </w:pPr>
            <w:r>
              <w:rPr>
                <w:sz w:val="22"/>
              </w:rPr>
              <w:t>Provide Public Facilities</w:t>
            </w:r>
          </w:p>
        </w:tc>
        <w:tc>
          <w:tcPr>
            <w:tcW w:w="663" w:type="dxa"/>
            <w:tcBorders>
              <w:bottom w:val="nil"/>
            </w:tcBorders>
          </w:tcPr>
          <w:p>
            <w:pPr>
              <w:pStyle w:val="TableParagraph"/>
              <w:spacing w:before="1"/>
              <w:ind w:right="100"/>
              <w:jc w:val="right"/>
              <w:rPr>
                <w:sz w:val="22"/>
              </w:rPr>
            </w:pPr>
            <w:r>
              <w:rPr>
                <w:sz w:val="22"/>
              </w:rPr>
              <w:t>202</w:t>
            </w:r>
          </w:p>
        </w:tc>
        <w:tc>
          <w:tcPr>
            <w:tcW w:w="663" w:type="dxa"/>
            <w:tcBorders>
              <w:bottom w:val="nil"/>
            </w:tcBorders>
          </w:tcPr>
          <w:p>
            <w:pPr>
              <w:pStyle w:val="TableParagraph"/>
              <w:spacing w:before="1"/>
              <w:ind w:right="100"/>
              <w:jc w:val="right"/>
              <w:rPr>
                <w:sz w:val="22"/>
              </w:rPr>
            </w:pPr>
            <w:r>
              <w:rPr>
                <w:sz w:val="22"/>
              </w:rPr>
              <w:t>202</w:t>
            </w:r>
          </w:p>
        </w:tc>
        <w:tc>
          <w:tcPr>
            <w:tcW w:w="1742" w:type="dxa"/>
            <w:tcBorders>
              <w:bottom w:val="nil"/>
            </w:tcBorders>
          </w:tcPr>
          <w:p>
            <w:pPr>
              <w:pStyle w:val="TableParagraph"/>
              <w:spacing w:before="1"/>
              <w:ind w:left="112"/>
              <w:rPr>
                <w:sz w:val="22"/>
              </w:rPr>
            </w:pPr>
            <w:r>
              <w:rPr>
                <w:sz w:val="22"/>
              </w:rPr>
              <w:t>Non Housing</w:t>
            </w:r>
          </w:p>
        </w:tc>
        <w:tc>
          <w:tcPr>
            <w:tcW w:w="1164" w:type="dxa"/>
            <w:vMerge w:val="restart"/>
          </w:tcPr>
          <w:p>
            <w:pPr>
              <w:pStyle w:val="TableParagraph"/>
              <w:rPr>
                <w:rFonts w:ascii="Times New Roman"/>
                <w:sz w:val="20"/>
              </w:rPr>
            </w:pPr>
          </w:p>
        </w:tc>
        <w:tc>
          <w:tcPr>
            <w:tcW w:w="2644" w:type="dxa"/>
            <w:tcBorders>
              <w:bottom w:val="nil"/>
            </w:tcBorders>
          </w:tcPr>
          <w:p>
            <w:pPr>
              <w:pStyle w:val="TableParagraph"/>
              <w:rPr>
                <w:rFonts w:ascii="Times New Roman"/>
                <w:sz w:val="20"/>
              </w:rPr>
            </w:pPr>
          </w:p>
        </w:tc>
        <w:tc>
          <w:tcPr>
            <w:tcW w:w="1320" w:type="dxa"/>
            <w:tcBorders>
              <w:bottom w:val="nil"/>
            </w:tcBorders>
          </w:tcPr>
          <w:p>
            <w:pPr>
              <w:pStyle w:val="TableParagraph"/>
              <w:spacing w:before="1"/>
              <w:ind w:right="100"/>
              <w:jc w:val="right"/>
              <w:rPr>
                <w:sz w:val="22"/>
              </w:rPr>
            </w:pPr>
            <w:r>
              <w:rPr>
                <w:sz w:val="22"/>
              </w:rPr>
              <w:t>CDBG:</w:t>
            </w:r>
          </w:p>
        </w:tc>
        <w:tc>
          <w:tcPr>
            <w:tcW w:w="2394" w:type="dxa"/>
            <w:tcBorders>
              <w:bottom w:val="nil"/>
            </w:tcBorders>
          </w:tcPr>
          <w:p>
            <w:pPr>
              <w:pStyle w:val="TableParagraph"/>
              <w:spacing w:before="1"/>
              <w:ind w:left="112"/>
              <w:rPr>
                <w:sz w:val="22"/>
              </w:rPr>
            </w:pPr>
            <w:r>
              <w:rPr>
                <w:sz w:val="22"/>
              </w:rPr>
              <w:t>Public Facility or</w:t>
            </w:r>
          </w:p>
        </w:tc>
      </w:tr>
      <w:tr>
        <w:trPr>
          <w:trHeight w:val="918" w:hRule="atLeast"/>
        </w:trPr>
        <w:tc>
          <w:tcPr>
            <w:tcW w:w="703" w:type="dxa"/>
            <w:tcBorders>
              <w:top w:val="nil"/>
              <w:bottom w:val="nil"/>
            </w:tcBorders>
          </w:tcPr>
          <w:p>
            <w:pPr>
              <w:pStyle w:val="TableParagraph"/>
              <w:rPr>
                <w:rFonts w:ascii="Times New Roman"/>
                <w:sz w:val="20"/>
              </w:rPr>
            </w:pPr>
          </w:p>
        </w:tc>
        <w:tc>
          <w:tcPr>
            <w:tcW w:w="2429" w:type="dxa"/>
            <w:tcBorders>
              <w:top w:val="nil"/>
              <w:bottom w:val="nil"/>
            </w:tcBorders>
          </w:tcPr>
          <w:p>
            <w:pPr>
              <w:pStyle w:val="TableParagraph"/>
              <w:spacing w:line="268" w:lineRule="exact"/>
              <w:ind w:left="112"/>
              <w:rPr>
                <w:sz w:val="22"/>
              </w:rPr>
            </w:pPr>
            <w:r>
              <w:rPr>
                <w:sz w:val="22"/>
              </w:rPr>
              <w:t>and Infrastructure</w:t>
            </w:r>
          </w:p>
        </w:tc>
        <w:tc>
          <w:tcPr>
            <w:tcW w:w="663" w:type="dxa"/>
            <w:tcBorders>
              <w:top w:val="nil"/>
              <w:bottom w:val="nil"/>
            </w:tcBorders>
          </w:tcPr>
          <w:p>
            <w:pPr>
              <w:pStyle w:val="TableParagraph"/>
              <w:spacing w:line="268" w:lineRule="exact"/>
              <w:ind w:right="100"/>
              <w:jc w:val="right"/>
              <w:rPr>
                <w:sz w:val="22"/>
              </w:rPr>
            </w:pPr>
            <w:r>
              <w:rPr>
                <w:sz w:val="22"/>
              </w:rPr>
              <w:t>5</w:t>
            </w:r>
          </w:p>
        </w:tc>
        <w:tc>
          <w:tcPr>
            <w:tcW w:w="663" w:type="dxa"/>
            <w:tcBorders>
              <w:top w:val="nil"/>
              <w:bottom w:val="nil"/>
            </w:tcBorders>
          </w:tcPr>
          <w:p>
            <w:pPr>
              <w:pStyle w:val="TableParagraph"/>
              <w:spacing w:line="268" w:lineRule="exact"/>
              <w:ind w:right="100"/>
              <w:jc w:val="right"/>
              <w:rPr>
                <w:sz w:val="22"/>
              </w:rPr>
            </w:pPr>
            <w:r>
              <w:rPr>
                <w:sz w:val="22"/>
              </w:rPr>
              <w:t>9</w:t>
            </w:r>
          </w:p>
        </w:tc>
        <w:tc>
          <w:tcPr>
            <w:tcW w:w="1742" w:type="dxa"/>
            <w:tcBorders>
              <w:top w:val="nil"/>
              <w:bottom w:val="nil"/>
            </w:tcBorders>
          </w:tcPr>
          <w:p>
            <w:pPr>
              <w:pStyle w:val="TableParagraph"/>
              <w:spacing w:line="276" w:lineRule="auto"/>
              <w:ind w:left="112" w:right="384"/>
              <w:rPr>
                <w:sz w:val="22"/>
              </w:rPr>
            </w:pPr>
            <w:r>
              <w:rPr>
                <w:sz w:val="22"/>
              </w:rPr>
              <w:t>Community Development</w:t>
            </w:r>
          </w:p>
        </w:tc>
        <w:tc>
          <w:tcPr>
            <w:tcW w:w="1164" w:type="dxa"/>
            <w:vMerge/>
            <w:tcBorders>
              <w:top w:val="nil"/>
            </w:tcBorders>
          </w:tcPr>
          <w:p>
            <w:pPr>
              <w:rPr>
                <w:sz w:val="2"/>
                <w:szCs w:val="2"/>
              </w:rPr>
            </w:pPr>
          </w:p>
        </w:tc>
        <w:tc>
          <w:tcPr>
            <w:tcW w:w="2644" w:type="dxa"/>
            <w:tcBorders>
              <w:top w:val="nil"/>
              <w:bottom w:val="nil"/>
            </w:tcBorders>
          </w:tcPr>
          <w:p>
            <w:pPr>
              <w:pStyle w:val="TableParagraph"/>
              <w:spacing w:line="276" w:lineRule="auto" w:before="22"/>
              <w:ind w:left="112" w:right="552"/>
              <w:rPr>
                <w:rFonts w:ascii="Arial"/>
                <w:sz w:val="22"/>
              </w:rPr>
            </w:pPr>
            <w:r>
              <w:rPr>
                <w:rFonts w:ascii="Arial"/>
                <w:sz w:val="22"/>
              </w:rPr>
              <w:t>Public Facilities and Infrastructure Improvement</w:t>
            </w:r>
          </w:p>
        </w:tc>
        <w:tc>
          <w:tcPr>
            <w:tcW w:w="1320" w:type="dxa"/>
            <w:tcBorders>
              <w:top w:val="nil"/>
              <w:bottom w:val="nil"/>
            </w:tcBorders>
          </w:tcPr>
          <w:p>
            <w:pPr>
              <w:pStyle w:val="TableParagraph"/>
              <w:spacing w:line="268" w:lineRule="exact"/>
              <w:ind w:right="100"/>
              <w:jc w:val="right"/>
              <w:rPr>
                <w:sz w:val="22"/>
              </w:rPr>
            </w:pPr>
            <w:r>
              <w:rPr>
                <w:sz w:val="22"/>
              </w:rPr>
              <w:t>$2,600,000</w:t>
            </w:r>
          </w:p>
        </w:tc>
        <w:tc>
          <w:tcPr>
            <w:tcW w:w="2394" w:type="dxa"/>
            <w:tcBorders>
              <w:top w:val="nil"/>
              <w:bottom w:val="nil"/>
            </w:tcBorders>
          </w:tcPr>
          <w:p>
            <w:pPr>
              <w:pStyle w:val="TableParagraph"/>
              <w:spacing w:line="276" w:lineRule="auto"/>
              <w:ind w:left="112" w:right="142"/>
              <w:rPr>
                <w:sz w:val="22"/>
              </w:rPr>
            </w:pPr>
            <w:r>
              <w:rPr>
                <w:sz w:val="22"/>
              </w:rPr>
              <w:t>Infrastructure Activities other than LMI</w:t>
            </w:r>
            <w:r>
              <w:rPr>
                <w:spacing w:val="3"/>
                <w:sz w:val="22"/>
              </w:rPr>
              <w:t> </w:t>
            </w:r>
            <w:r>
              <w:rPr>
                <w:spacing w:val="-3"/>
                <w:sz w:val="22"/>
              </w:rPr>
              <w:t>Housing</w:t>
            </w:r>
          </w:p>
          <w:p>
            <w:pPr>
              <w:pStyle w:val="TableParagraph"/>
              <w:ind w:left="112"/>
              <w:rPr>
                <w:sz w:val="22"/>
              </w:rPr>
            </w:pPr>
            <w:r>
              <w:rPr>
                <w:sz w:val="22"/>
              </w:rPr>
              <w:t>Benefit 15,000 Persons</w:t>
            </w:r>
          </w:p>
        </w:tc>
      </w:tr>
      <w:tr>
        <w:trPr>
          <w:trHeight w:val="494" w:hRule="atLeast"/>
        </w:trPr>
        <w:tc>
          <w:tcPr>
            <w:tcW w:w="703" w:type="dxa"/>
            <w:tcBorders>
              <w:top w:val="nil"/>
            </w:tcBorders>
          </w:tcPr>
          <w:p>
            <w:pPr>
              <w:pStyle w:val="TableParagraph"/>
              <w:rPr>
                <w:rFonts w:ascii="Times New Roman"/>
                <w:sz w:val="20"/>
              </w:rPr>
            </w:pPr>
          </w:p>
        </w:tc>
        <w:tc>
          <w:tcPr>
            <w:tcW w:w="2429" w:type="dxa"/>
            <w:tcBorders>
              <w:top w:val="nil"/>
            </w:tcBorders>
          </w:tcPr>
          <w:p>
            <w:pPr>
              <w:pStyle w:val="TableParagraph"/>
              <w:rPr>
                <w:rFonts w:ascii="Times New Roman"/>
                <w:sz w:val="20"/>
              </w:rPr>
            </w:pPr>
          </w:p>
        </w:tc>
        <w:tc>
          <w:tcPr>
            <w:tcW w:w="663" w:type="dxa"/>
            <w:tcBorders>
              <w:top w:val="nil"/>
            </w:tcBorders>
          </w:tcPr>
          <w:p>
            <w:pPr>
              <w:pStyle w:val="TableParagraph"/>
              <w:rPr>
                <w:rFonts w:ascii="Times New Roman"/>
                <w:sz w:val="20"/>
              </w:rPr>
            </w:pPr>
          </w:p>
        </w:tc>
        <w:tc>
          <w:tcPr>
            <w:tcW w:w="663" w:type="dxa"/>
            <w:tcBorders>
              <w:top w:val="nil"/>
            </w:tcBorders>
          </w:tcPr>
          <w:p>
            <w:pPr>
              <w:pStyle w:val="TableParagraph"/>
              <w:rPr>
                <w:rFonts w:ascii="Times New Roman"/>
                <w:sz w:val="20"/>
              </w:rPr>
            </w:pPr>
          </w:p>
        </w:tc>
        <w:tc>
          <w:tcPr>
            <w:tcW w:w="1742" w:type="dxa"/>
            <w:tcBorders>
              <w:top w:val="nil"/>
            </w:tcBorders>
          </w:tcPr>
          <w:p>
            <w:pPr>
              <w:pStyle w:val="TableParagraph"/>
              <w:rPr>
                <w:rFonts w:ascii="Times New Roman"/>
                <w:sz w:val="20"/>
              </w:rPr>
            </w:pPr>
          </w:p>
        </w:tc>
        <w:tc>
          <w:tcPr>
            <w:tcW w:w="1164" w:type="dxa"/>
            <w:vMerge/>
            <w:tcBorders>
              <w:top w:val="nil"/>
            </w:tcBorders>
          </w:tcPr>
          <w:p>
            <w:pPr>
              <w:rPr>
                <w:sz w:val="2"/>
                <w:szCs w:val="2"/>
              </w:rPr>
            </w:pPr>
          </w:p>
        </w:tc>
        <w:tc>
          <w:tcPr>
            <w:tcW w:w="2644" w:type="dxa"/>
            <w:tcBorders>
              <w:top w:val="nil"/>
            </w:tcBorders>
          </w:tcPr>
          <w:p>
            <w:pPr>
              <w:pStyle w:val="TableParagraph"/>
              <w:rPr>
                <w:rFonts w:ascii="Times New Roman"/>
                <w:sz w:val="20"/>
              </w:rPr>
            </w:pPr>
          </w:p>
        </w:tc>
        <w:tc>
          <w:tcPr>
            <w:tcW w:w="1320" w:type="dxa"/>
            <w:tcBorders>
              <w:top w:val="nil"/>
            </w:tcBorders>
          </w:tcPr>
          <w:p>
            <w:pPr>
              <w:pStyle w:val="TableParagraph"/>
              <w:rPr>
                <w:rFonts w:ascii="Times New Roman"/>
                <w:sz w:val="20"/>
              </w:rPr>
            </w:pPr>
          </w:p>
        </w:tc>
        <w:tc>
          <w:tcPr>
            <w:tcW w:w="2394" w:type="dxa"/>
            <w:tcBorders>
              <w:top w:val="nil"/>
            </w:tcBorders>
          </w:tcPr>
          <w:p>
            <w:pPr>
              <w:pStyle w:val="TableParagraph"/>
              <w:spacing w:line="261" w:lineRule="exact"/>
              <w:ind w:left="112"/>
              <w:rPr>
                <w:sz w:val="22"/>
              </w:rPr>
            </w:pPr>
            <w:r>
              <w:rPr>
                <w:sz w:val="22"/>
              </w:rPr>
              <w:t>Assisted</w:t>
            </w:r>
          </w:p>
        </w:tc>
      </w:tr>
      <w:tr>
        <w:trPr>
          <w:trHeight w:val="1430" w:hRule="atLeast"/>
        </w:trPr>
        <w:tc>
          <w:tcPr>
            <w:tcW w:w="703" w:type="dxa"/>
          </w:tcPr>
          <w:p>
            <w:pPr>
              <w:pStyle w:val="TableParagraph"/>
              <w:spacing w:before="1"/>
              <w:ind w:left="112"/>
              <w:rPr>
                <w:b/>
                <w:sz w:val="22"/>
              </w:rPr>
            </w:pPr>
            <w:r>
              <w:rPr>
                <w:b/>
                <w:sz w:val="22"/>
              </w:rPr>
              <w:t>3</w:t>
            </w:r>
          </w:p>
        </w:tc>
        <w:tc>
          <w:tcPr>
            <w:tcW w:w="2429" w:type="dxa"/>
          </w:tcPr>
          <w:p>
            <w:pPr>
              <w:pStyle w:val="TableParagraph"/>
              <w:spacing w:before="1"/>
              <w:ind w:left="112"/>
              <w:rPr>
                <w:sz w:val="22"/>
              </w:rPr>
            </w:pPr>
            <w:r>
              <w:rPr>
                <w:sz w:val="22"/>
              </w:rPr>
              <w:t>Provide Public Services</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5</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9</w:t>
            </w:r>
          </w:p>
        </w:tc>
        <w:tc>
          <w:tcPr>
            <w:tcW w:w="1742" w:type="dxa"/>
          </w:tcPr>
          <w:p>
            <w:pPr>
              <w:pStyle w:val="TableParagraph"/>
              <w:spacing w:line="276" w:lineRule="auto" w:before="1"/>
              <w:ind w:left="112" w:right="384"/>
              <w:rPr>
                <w:sz w:val="22"/>
              </w:rPr>
            </w:pPr>
            <w:r>
              <w:rPr>
                <w:sz w:val="22"/>
              </w:rPr>
              <w:t>Non Housing Community Development</w:t>
            </w:r>
          </w:p>
        </w:tc>
        <w:tc>
          <w:tcPr>
            <w:tcW w:w="1164" w:type="dxa"/>
          </w:tcPr>
          <w:p>
            <w:pPr>
              <w:pStyle w:val="TableParagraph"/>
              <w:rPr>
                <w:rFonts w:ascii="Times New Roman"/>
                <w:sz w:val="20"/>
              </w:rPr>
            </w:pPr>
          </w:p>
        </w:tc>
        <w:tc>
          <w:tcPr>
            <w:tcW w:w="2644" w:type="dxa"/>
          </w:tcPr>
          <w:p>
            <w:pPr>
              <w:pStyle w:val="TableParagraph"/>
              <w:spacing w:before="1"/>
              <w:ind w:left="112"/>
              <w:rPr>
                <w:sz w:val="22"/>
              </w:rPr>
            </w:pPr>
            <w:r>
              <w:rPr>
                <w:sz w:val="22"/>
              </w:rPr>
              <w:t>Provide Public Services</w:t>
            </w:r>
          </w:p>
        </w:tc>
        <w:tc>
          <w:tcPr>
            <w:tcW w:w="1320" w:type="dxa"/>
          </w:tcPr>
          <w:p>
            <w:pPr>
              <w:pStyle w:val="TableParagraph"/>
              <w:spacing w:before="1"/>
              <w:ind w:left="632"/>
              <w:rPr>
                <w:sz w:val="22"/>
              </w:rPr>
            </w:pPr>
            <w:r>
              <w:rPr>
                <w:sz w:val="22"/>
              </w:rPr>
              <w:t>CDBG:</w:t>
            </w:r>
          </w:p>
          <w:p>
            <w:pPr>
              <w:pStyle w:val="TableParagraph"/>
              <w:spacing w:before="41"/>
              <w:ind w:left="367"/>
              <w:rPr>
                <w:sz w:val="22"/>
              </w:rPr>
            </w:pPr>
            <w:r>
              <w:rPr>
                <w:sz w:val="22"/>
              </w:rPr>
              <w:t>$400,000</w:t>
            </w:r>
          </w:p>
        </w:tc>
        <w:tc>
          <w:tcPr>
            <w:tcW w:w="2394" w:type="dxa"/>
          </w:tcPr>
          <w:p>
            <w:pPr>
              <w:pStyle w:val="TableParagraph"/>
              <w:spacing w:line="276" w:lineRule="auto" w:before="1"/>
              <w:ind w:left="112" w:right="153"/>
              <w:jc w:val="both"/>
              <w:rPr>
                <w:sz w:val="22"/>
              </w:rPr>
            </w:pPr>
            <w:r>
              <w:rPr>
                <w:sz w:val="22"/>
              </w:rPr>
              <w:t>Public Service activities other than LMI Housing Benefit 50,000 Persons Assisted</w:t>
            </w:r>
          </w:p>
        </w:tc>
      </w:tr>
      <w:tr>
        <w:trPr>
          <w:trHeight w:val="302" w:hRule="atLeast"/>
        </w:trPr>
        <w:tc>
          <w:tcPr>
            <w:tcW w:w="703" w:type="dxa"/>
            <w:tcBorders>
              <w:bottom w:val="nil"/>
            </w:tcBorders>
          </w:tcPr>
          <w:p>
            <w:pPr>
              <w:pStyle w:val="TableParagraph"/>
              <w:spacing w:before="1"/>
              <w:ind w:left="112"/>
              <w:rPr>
                <w:b/>
                <w:sz w:val="22"/>
              </w:rPr>
            </w:pPr>
            <w:r>
              <w:rPr>
                <w:b/>
                <w:sz w:val="22"/>
              </w:rPr>
              <w:t>4</w:t>
            </w:r>
          </w:p>
        </w:tc>
        <w:tc>
          <w:tcPr>
            <w:tcW w:w="2429" w:type="dxa"/>
            <w:tcBorders>
              <w:bottom w:val="nil"/>
            </w:tcBorders>
          </w:tcPr>
          <w:p>
            <w:pPr>
              <w:pStyle w:val="TableParagraph"/>
              <w:spacing w:before="1"/>
              <w:ind w:left="112"/>
              <w:rPr>
                <w:sz w:val="22"/>
              </w:rPr>
            </w:pPr>
            <w:r>
              <w:rPr>
                <w:sz w:val="22"/>
              </w:rPr>
              <w:t>Provide Housing and</w:t>
            </w:r>
          </w:p>
        </w:tc>
        <w:tc>
          <w:tcPr>
            <w:tcW w:w="663" w:type="dxa"/>
            <w:tcBorders>
              <w:bottom w:val="nil"/>
            </w:tcBorders>
          </w:tcPr>
          <w:p>
            <w:pPr>
              <w:pStyle w:val="TableParagraph"/>
              <w:spacing w:before="1"/>
              <w:ind w:right="100"/>
              <w:jc w:val="right"/>
              <w:rPr>
                <w:sz w:val="22"/>
              </w:rPr>
            </w:pPr>
            <w:r>
              <w:rPr>
                <w:sz w:val="22"/>
              </w:rPr>
              <w:t>202</w:t>
            </w:r>
          </w:p>
        </w:tc>
        <w:tc>
          <w:tcPr>
            <w:tcW w:w="663" w:type="dxa"/>
            <w:tcBorders>
              <w:bottom w:val="nil"/>
            </w:tcBorders>
          </w:tcPr>
          <w:p>
            <w:pPr>
              <w:pStyle w:val="TableParagraph"/>
              <w:spacing w:before="1"/>
              <w:ind w:right="100"/>
              <w:jc w:val="right"/>
              <w:rPr>
                <w:sz w:val="22"/>
              </w:rPr>
            </w:pPr>
            <w:r>
              <w:rPr>
                <w:sz w:val="22"/>
              </w:rPr>
              <w:t>202</w:t>
            </w:r>
          </w:p>
        </w:tc>
        <w:tc>
          <w:tcPr>
            <w:tcW w:w="1742" w:type="dxa"/>
            <w:tcBorders>
              <w:bottom w:val="nil"/>
            </w:tcBorders>
          </w:tcPr>
          <w:p>
            <w:pPr>
              <w:pStyle w:val="TableParagraph"/>
              <w:spacing w:before="1"/>
              <w:ind w:left="112"/>
              <w:rPr>
                <w:sz w:val="22"/>
              </w:rPr>
            </w:pPr>
            <w:r>
              <w:rPr>
                <w:sz w:val="22"/>
              </w:rPr>
              <w:t>Homeless</w:t>
            </w:r>
          </w:p>
        </w:tc>
        <w:tc>
          <w:tcPr>
            <w:tcW w:w="1164" w:type="dxa"/>
            <w:vMerge w:val="restart"/>
          </w:tcPr>
          <w:p>
            <w:pPr>
              <w:pStyle w:val="TableParagraph"/>
              <w:rPr>
                <w:rFonts w:ascii="Times New Roman"/>
                <w:sz w:val="20"/>
              </w:rPr>
            </w:pPr>
          </w:p>
        </w:tc>
        <w:tc>
          <w:tcPr>
            <w:tcW w:w="2644" w:type="dxa"/>
            <w:tcBorders>
              <w:bottom w:val="nil"/>
            </w:tcBorders>
          </w:tcPr>
          <w:p>
            <w:pPr>
              <w:pStyle w:val="TableParagraph"/>
              <w:rPr>
                <w:rFonts w:ascii="Times New Roman"/>
                <w:sz w:val="20"/>
              </w:rPr>
            </w:pPr>
          </w:p>
        </w:tc>
        <w:tc>
          <w:tcPr>
            <w:tcW w:w="1320" w:type="dxa"/>
            <w:tcBorders>
              <w:bottom w:val="nil"/>
            </w:tcBorders>
          </w:tcPr>
          <w:p>
            <w:pPr>
              <w:pStyle w:val="TableParagraph"/>
              <w:spacing w:before="1"/>
              <w:ind w:right="100"/>
              <w:jc w:val="right"/>
              <w:rPr>
                <w:sz w:val="22"/>
              </w:rPr>
            </w:pPr>
            <w:r>
              <w:rPr>
                <w:sz w:val="22"/>
              </w:rPr>
              <w:t>CDBG:</w:t>
            </w:r>
          </w:p>
        </w:tc>
        <w:tc>
          <w:tcPr>
            <w:tcW w:w="2394" w:type="dxa"/>
            <w:tcBorders>
              <w:bottom w:val="nil"/>
            </w:tcBorders>
          </w:tcPr>
          <w:p>
            <w:pPr>
              <w:pStyle w:val="TableParagraph"/>
              <w:spacing w:before="1"/>
              <w:ind w:left="112"/>
              <w:rPr>
                <w:sz w:val="22"/>
              </w:rPr>
            </w:pPr>
            <w:r>
              <w:rPr>
                <w:sz w:val="22"/>
              </w:rPr>
              <w:t>Homeless Person</w:t>
            </w:r>
          </w:p>
        </w:tc>
      </w:tr>
      <w:tr>
        <w:trPr>
          <w:trHeight w:val="256" w:hRule="atLeast"/>
        </w:trPr>
        <w:tc>
          <w:tcPr>
            <w:tcW w:w="703" w:type="dxa"/>
            <w:tcBorders>
              <w:top w:val="nil"/>
              <w:bottom w:val="nil"/>
            </w:tcBorders>
          </w:tcPr>
          <w:p>
            <w:pPr>
              <w:pStyle w:val="TableParagraph"/>
              <w:rPr>
                <w:rFonts w:ascii="Times New Roman"/>
                <w:sz w:val="18"/>
              </w:rPr>
            </w:pPr>
          </w:p>
        </w:tc>
        <w:tc>
          <w:tcPr>
            <w:tcW w:w="2429" w:type="dxa"/>
            <w:tcBorders>
              <w:top w:val="nil"/>
              <w:bottom w:val="nil"/>
            </w:tcBorders>
          </w:tcPr>
          <w:p>
            <w:pPr>
              <w:pStyle w:val="TableParagraph"/>
              <w:spacing w:line="237" w:lineRule="exact"/>
              <w:ind w:left="112"/>
              <w:rPr>
                <w:sz w:val="22"/>
              </w:rPr>
            </w:pPr>
            <w:r>
              <w:rPr>
                <w:sz w:val="22"/>
              </w:rPr>
              <w:t>Services for Persons</w:t>
            </w:r>
          </w:p>
        </w:tc>
        <w:tc>
          <w:tcPr>
            <w:tcW w:w="663" w:type="dxa"/>
            <w:tcBorders>
              <w:top w:val="nil"/>
              <w:bottom w:val="nil"/>
            </w:tcBorders>
          </w:tcPr>
          <w:p>
            <w:pPr>
              <w:pStyle w:val="TableParagraph"/>
              <w:spacing w:line="237" w:lineRule="exact"/>
              <w:ind w:right="100"/>
              <w:jc w:val="right"/>
              <w:rPr>
                <w:sz w:val="22"/>
              </w:rPr>
            </w:pPr>
            <w:r>
              <w:rPr>
                <w:sz w:val="22"/>
              </w:rPr>
              <w:t>5</w:t>
            </w:r>
          </w:p>
        </w:tc>
        <w:tc>
          <w:tcPr>
            <w:tcW w:w="663" w:type="dxa"/>
            <w:tcBorders>
              <w:top w:val="nil"/>
              <w:bottom w:val="nil"/>
            </w:tcBorders>
          </w:tcPr>
          <w:p>
            <w:pPr>
              <w:pStyle w:val="TableParagraph"/>
              <w:spacing w:line="237" w:lineRule="exact"/>
              <w:ind w:right="100"/>
              <w:jc w:val="right"/>
              <w:rPr>
                <w:sz w:val="22"/>
              </w:rPr>
            </w:pPr>
            <w:r>
              <w:rPr>
                <w:sz w:val="22"/>
              </w:rPr>
              <w:t>9</w:t>
            </w:r>
          </w:p>
        </w:tc>
        <w:tc>
          <w:tcPr>
            <w:tcW w:w="1742" w:type="dxa"/>
            <w:tcBorders>
              <w:top w:val="nil"/>
              <w:bottom w:val="nil"/>
            </w:tcBorders>
          </w:tcPr>
          <w:p>
            <w:pPr>
              <w:pStyle w:val="TableParagraph"/>
              <w:rPr>
                <w:rFonts w:ascii="Times New Roman"/>
                <w:sz w:val="18"/>
              </w:rPr>
            </w:pPr>
          </w:p>
        </w:tc>
        <w:tc>
          <w:tcPr>
            <w:tcW w:w="1164" w:type="dxa"/>
            <w:vMerge/>
            <w:tcBorders>
              <w:top w:val="nil"/>
            </w:tcBorders>
          </w:tcPr>
          <w:p>
            <w:pPr>
              <w:rPr>
                <w:sz w:val="2"/>
                <w:szCs w:val="2"/>
              </w:rPr>
            </w:pPr>
          </w:p>
        </w:tc>
        <w:tc>
          <w:tcPr>
            <w:tcW w:w="2644" w:type="dxa"/>
            <w:tcBorders>
              <w:top w:val="nil"/>
              <w:bottom w:val="nil"/>
            </w:tcBorders>
          </w:tcPr>
          <w:p>
            <w:pPr>
              <w:pStyle w:val="TableParagraph"/>
              <w:rPr>
                <w:rFonts w:ascii="Times New Roman"/>
                <w:sz w:val="18"/>
              </w:rPr>
            </w:pPr>
          </w:p>
        </w:tc>
        <w:tc>
          <w:tcPr>
            <w:tcW w:w="1320" w:type="dxa"/>
            <w:tcBorders>
              <w:top w:val="nil"/>
              <w:bottom w:val="nil"/>
            </w:tcBorders>
          </w:tcPr>
          <w:p>
            <w:pPr>
              <w:pStyle w:val="TableParagraph"/>
              <w:spacing w:line="237" w:lineRule="exact"/>
              <w:ind w:right="100"/>
              <w:jc w:val="right"/>
              <w:rPr>
                <w:sz w:val="22"/>
              </w:rPr>
            </w:pPr>
            <w:r>
              <w:rPr>
                <w:sz w:val="22"/>
              </w:rPr>
              <w:t>$200,000</w:t>
            </w:r>
          </w:p>
        </w:tc>
        <w:tc>
          <w:tcPr>
            <w:tcW w:w="2394" w:type="dxa"/>
            <w:tcBorders>
              <w:top w:val="nil"/>
              <w:bottom w:val="nil"/>
            </w:tcBorders>
          </w:tcPr>
          <w:p>
            <w:pPr>
              <w:pStyle w:val="TableParagraph"/>
              <w:spacing w:line="237" w:lineRule="exact"/>
              <w:ind w:left="112"/>
              <w:rPr>
                <w:sz w:val="22"/>
              </w:rPr>
            </w:pPr>
            <w:r>
              <w:rPr>
                <w:sz w:val="22"/>
              </w:rPr>
              <w:t>Overnight Shelter 1100</w:t>
            </w:r>
          </w:p>
        </w:tc>
      </w:tr>
      <w:tr>
        <w:trPr>
          <w:trHeight w:val="1228" w:hRule="atLeast"/>
        </w:trPr>
        <w:tc>
          <w:tcPr>
            <w:tcW w:w="703" w:type="dxa"/>
            <w:tcBorders>
              <w:top w:val="nil"/>
              <w:bottom w:val="nil"/>
            </w:tcBorders>
          </w:tcPr>
          <w:p>
            <w:pPr>
              <w:pStyle w:val="TableParagraph"/>
              <w:rPr>
                <w:rFonts w:ascii="Times New Roman"/>
                <w:sz w:val="20"/>
              </w:rPr>
            </w:pPr>
          </w:p>
        </w:tc>
        <w:tc>
          <w:tcPr>
            <w:tcW w:w="2429" w:type="dxa"/>
            <w:tcBorders>
              <w:top w:val="nil"/>
              <w:bottom w:val="nil"/>
            </w:tcBorders>
          </w:tcPr>
          <w:p>
            <w:pPr>
              <w:pStyle w:val="TableParagraph"/>
              <w:spacing w:line="276" w:lineRule="auto" w:before="29"/>
              <w:ind w:left="112" w:right="214"/>
              <w:rPr>
                <w:sz w:val="22"/>
              </w:rPr>
            </w:pPr>
            <w:r>
              <w:rPr>
                <w:sz w:val="22"/>
              </w:rPr>
              <w:t>Experiencing/At Risk of Homelessness</w:t>
            </w:r>
          </w:p>
        </w:tc>
        <w:tc>
          <w:tcPr>
            <w:tcW w:w="663" w:type="dxa"/>
            <w:tcBorders>
              <w:top w:val="nil"/>
              <w:bottom w:val="nil"/>
            </w:tcBorders>
          </w:tcPr>
          <w:p>
            <w:pPr>
              <w:pStyle w:val="TableParagraph"/>
              <w:rPr>
                <w:rFonts w:ascii="Times New Roman"/>
                <w:sz w:val="20"/>
              </w:rPr>
            </w:pPr>
          </w:p>
        </w:tc>
        <w:tc>
          <w:tcPr>
            <w:tcW w:w="663" w:type="dxa"/>
            <w:tcBorders>
              <w:top w:val="nil"/>
              <w:bottom w:val="nil"/>
            </w:tcBorders>
          </w:tcPr>
          <w:p>
            <w:pPr>
              <w:pStyle w:val="TableParagraph"/>
              <w:rPr>
                <w:rFonts w:ascii="Times New Roman"/>
                <w:sz w:val="20"/>
              </w:rPr>
            </w:pPr>
          </w:p>
        </w:tc>
        <w:tc>
          <w:tcPr>
            <w:tcW w:w="1742" w:type="dxa"/>
            <w:tcBorders>
              <w:top w:val="nil"/>
              <w:bottom w:val="nil"/>
            </w:tcBorders>
          </w:tcPr>
          <w:p>
            <w:pPr>
              <w:pStyle w:val="TableParagraph"/>
              <w:rPr>
                <w:rFonts w:ascii="Times New Roman"/>
                <w:sz w:val="20"/>
              </w:rPr>
            </w:pPr>
          </w:p>
        </w:tc>
        <w:tc>
          <w:tcPr>
            <w:tcW w:w="1164" w:type="dxa"/>
            <w:vMerge/>
            <w:tcBorders>
              <w:top w:val="nil"/>
            </w:tcBorders>
          </w:tcPr>
          <w:p>
            <w:pPr>
              <w:rPr>
                <w:sz w:val="2"/>
                <w:szCs w:val="2"/>
              </w:rPr>
            </w:pPr>
          </w:p>
        </w:tc>
        <w:tc>
          <w:tcPr>
            <w:tcW w:w="2644" w:type="dxa"/>
            <w:tcBorders>
              <w:top w:val="nil"/>
              <w:bottom w:val="nil"/>
            </w:tcBorders>
          </w:tcPr>
          <w:p>
            <w:pPr>
              <w:pStyle w:val="TableParagraph"/>
              <w:spacing w:line="276" w:lineRule="auto"/>
              <w:ind w:left="112" w:right="222"/>
              <w:rPr>
                <w:rFonts w:ascii="Arial"/>
                <w:sz w:val="22"/>
              </w:rPr>
            </w:pPr>
            <w:r>
              <w:rPr>
                <w:rFonts w:ascii="Arial"/>
                <w:sz w:val="22"/>
              </w:rPr>
              <w:t>Provide Housing and Services for Persons Experiencing/At Risk of Homelessness</w:t>
            </w:r>
          </w:p>
        </w:tc>
        <w:tc>
          <w:tcPr>
            <w:tcW w:w="1320" w:type="dxa"/>
            <w:tcBorders>
              <w:top w:val="nil"/>
              <w:bottom w:val="nil"/>
            </w:tcBorders>
          </w:tcPr>
          <w:p>
            <w:pPr>
              <w:pStyle w:val="TableParagraph"/>
              <w:rPr>
                <w:rFonts w:ascii="Times New Roman"/>
                <w:sz w:val="20"/>
              </w:rPr>
            </w:pPr>
          </w:p>
        </w:tc>
        <w:tc>
          <w:tcPr>
            <w:tcW w:w="2394" w:type="dxa"/>
            <w:tcBorders>
              <w:top w:val="nil"/>
              <w:bottom w:val="nil"/>
            </w:tcBorders>
          </w:tcPr>
          <w:p>
            <w:pPr>
              <w:pStyle w:val="TableParagraph"/>
              <w:spacing w:before="29"/>
              <w:ind w:left="112"/>
              <w:rPr>
                <w:sz w:val="22"/>
              </w:rPr>
            </w:pPr>
            <w:r>
              <w:rPr>
                <w:sz w:val="22"/>
              </w:rPr>
              <w:t>Persons Assisted</w:t>
            </w:r>
          </w:p>
          <w:p>
            <w:pPr>
              <w:pStyle w:val="TableParagraph"/>
              <w:spacing w:before="10"/>
              <w:rPr>
                <w:b/>
                <w:sz w:val="22"/>
              </w:rPr>
            </w:pPr>
          </w:p>
          <w:p>
            <w:pPr>
              <w:pStyle w:val="TableParagraph"/>
              <w:spacing w:line="310" w:lineRule="atLeast" w:before="1"/>
              <w:ind w:left="112" w:right="770"/>
              <w:rPr>
                <w:sz w:val="22"/>
              </w:rPr>
            </w:pPr>
            <w:r>
              <w:rPr>
                <w:sz w:val="22"/>
              </w:rPr>
              <w:t>Homelessness Prevention</w:t>
            </w:r>
            <w:r>
              <w:rPr>
                <w:spacing w:val="3"/>
                <w:sz w:val="22"/>
              </w:rPr>
              <w:t> </w:t>
            </w:r>
            <w:r>
              <w:rPr>
                <w:spacing w:val="-5"/>
                <w:sz w:val="22"/>
              </w:rPr>
              <w:t>1500</w:t>
            </w:r>
          </w:p>
        </w:tc>
      </w:tr>
      <w:tr>
        <w:trPr>
          <w:trHeight w:val="494" w:hRule="atLeast"/>
        </w:trPr>
        <w:tc>
          <w:tcPr>
            <w:tcW w:w="703" w:type="dxa"/>
            <w:tcBorders>
              <w:top w:val="nil"/>
            </w:tcBorders>
          </w:tcPr>
          <w:p>
            <w:pPr>
              <w:pStyle w:val="TableParagraph"/>
              <w:rPr>
                <w:rFonts w:ascii="Times New Roman"/>
                <w:sz w:val="20"/>
              </w:rPr>
            </w:pPr>
          </w:p>
        </w:tc>
        <w:tc>
          <w:tcPr>
            <w:tcW w:w="2429" w:type="dxa"/>
            <w:tcBorders>
              <w:top w:val="nil"/>
            </w:tcBorders>
          </w:tcPr>
          <w:p>
            <w:pPr>
              <w:pStyle w:val="TableParagraph"/>
              <w:rPr>
                <w:rFonts w:ascii="Times New Roman"/>
                <w:sz w:val="20"/>
              </w:rPr>
            </w:pPr>
          </w:p>
        </w:tc>
        <w:tc>
          <w:tcPr>
            <w:tcW w:w="663" w:type="dxa"/>
            <w:tcBorders>
              <w:top w:val="nil"/>
            </w:tcBorders>
          </w:tcPr>
          <w:p>
            <w:pPr>
              <w:pStyle w:val="TableParagraph"/>
              <w:rPr>
                <w:rFonts w:ascii="Times New Roman"/>
                <w:sz w:val="20"/>
              </w:rPr>
            </w:pPr>
          </w:p>
        </w:tc>
        <w:tc>
          <w:tcPr>
            <w:tcW w:w="663" w:type="dxa"/>
            <w:tcBorders>
              <w:top w:val="nil"/>
            </w:tcBorders>
          </w:tcPr>
          <w:p>
            <w:pPr>
              <w:pStyle w:val="TableParagraph"/>
              <w:rPr>
                <w:rFonts w:ascii="Times New Roman"/>
                <w:sz w:val="20"/>
              </w:rPr>
            </w:pPr>
          </w:p>
        </w:tc>
        <w:tc>
          <w:tcPr>
            <w:tcW w:w="1742" w:type="dxa"/>
            <w:tcBorders>
              <w:top w:val="nil"/>
            </w:tcBorders>
          </w:tcPr>
          <w:p>
            <w:pPr>
              <w:pStyle w:val="TableParagraph"/>
              <w:rPr>
                <w:rFonts w:ascii="Times New Roman"/>
                <w:sz w:val="20"/>
              </w:rPr>
            </w:pPr>
          </w:p>
        </w:tc>
        <w:tc>
          <w:tcPr>
            <w:tcW w:w="1164" w:type="dxa"/>
            <w:vMerge/>
            <w:tcBorders>
              <w:top w:val="nil"/>
            </w:tcBorders>
          </w:tcPr>
          <w:p>
            <w:pPr>
              <w:rPr>
                <w:sz w:val="2"/>
                <w:szCs w:val="2"/>
              </w:rPr>
            </w:pPr>
          </w:p>
        </w:tc>
        <w:tc>
          <w:tcPr>
            <w:tcW w:w="2644" w:type="dxa"/>
            <w:tcBorders>
              <w:top w:val="nil"/>
            </w:tcBorders>
          </w:tcPr>
          <w:p>
            <w:pPr>
              <w:pStyle w:val="TableParagraph"/>
              <w:rPr>
                <w:rFonts w:ascii="Times New Roman"/>
                <w:sz w:val="20"/>
              </w:rPr>
            </w:pPr>
          </w:p>
        </w:tc>
        <w:tc>
          <w:tcPr>
            <w:tcW w:w="1320" w:type="dxa"/>
            <w:tcBorders>
              <w:top w:val="nil"/>
            </w:tcBorders>
          </w:tcPr>
          <w:p>
            <w:pPr>
              <w:pStyle w:val="TableParagraph"/>
              <w:rPr>
                <w:rFonts w:ascii="Times New Roman"/>
                <w:sz w:val="20"/>
              </w:rPr>
            </w:pPr>
          </w:p>
        </w:tc>
        <w:tc>
          <w:tcPr>
            <w:tcW w:w="2394" w:type="dxa"/>
            <w:tcBorders>
              <w:top w:val="nil"/>
            </w:tcBorders>
          </w:tcPr>
          <w:p>
            <w:pPr>
              <w:pStyle w:val="TableParagraph"/>
              <w:spacing w:line="261" w:lineRule="exact"/>
              <w:ind w:left="112"/>
              <w:rPr>
                <w:sz w:val="22"/>
              </w:rPr>
            </w:pPr>
            <w:r>
              <w:rPr>
                <w:sz w:val="22"/>
              </w:rPr>
              <w:t>Persons Assisted</w:t>
            </w:r>
          </w:p>
        </w:tc>
      </w:tr>
    </w:tbl>
    <w:p>
      <w:pPr>
        <w:spacing w:after="0" w:line="261" w:lineRule="exact"/>
        <w:rPr>
          <w:sz w:val="22"/>
        </w:rPr>
        <w:sectPr>
          <w:headerReference w:type="default" r:id="rId125"/>
          <w:footerReference w:type="default" r:id="rId126"/>
          <w:pgSz w:w="15840" w:h="12240" w:orient="landscape"/>
          <w:pgMar w:header="0" w:footer="1072" w:top="1140" w:bottom="1260" w:left="1220" w:right="560"/>
          <w:pgNumType w:start="106"/>
        </w:sectPr>
      </w:pPr>
    </w:p>
    <w:p>
      <w:pPr>
        <w:pStyle w:val="BodyText"/>
        <w:spacing w:before="2"/>
        <w:rPr>
          <w:b/>
          <w:sz w:val="24"/>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3"/>
        <w:gridCol w:w="2429"/>
        <w:gridCol w:w="663"/>
        <w:gridCol w:w="663"/>
        <w:gridCol w:w="1742"/>
        <w:gridCol w:w="1164"/>
        <w:gridCol w:w="2644"/>
        <w:gridCol w:w="1320"/>
        <w:gridCol w:w="2394"/>
      </w:tblGrid>
      <w:tr>
        <w:trPr>
          <w:trHeight w:val="1710" w:hRule="atLeast"/>
        </w:trPr>
        <w:tc>
          <w:tcPr>
            <w:tcW w:w="703" w:type="dxa"/>
          </w:tcPr>
          <w:p>
            <w:pPr>
              <w:pStyle w:val="TableParagraph"/>
              <w:spacing w:before="1"/>
              <w:ind w:left="112"/>
              <w:rPr>
                <w:b/>
                <w:sz w:val="22"/>
              </w:rPr>
            </w:pPr>
            <w:r>
              <w:rPr>
                <w:b/>
                <w:sz w:val="22"/>
              </w:rPr>
              <w:t>5</w:t>
            </w:r>
          </w:p>
        </w:tc>
        <w:tc>
          <w:tcPr>
            <w:tcW w:w="2429" w:type="dxa"/>
          </w:tcPr>
          <w:p>
            <w:pPr>
              <w:pStyle w:val="TableParagraph"/>
              <w:spacing w:line="276" w:lineRule="auto" w:before="1"/>
              <w:ind w:left="112" w:right="949"/>
              <w:rPr>
                <w:sz w:val="22"/>
              </w:rPr>
            </w:pPr>
            <w:r>
              <w:rPr>
                <w:sz w:val="22"/>
              </w:rPr>
              <w:t>Planning and Administration</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5</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9</w:t>
            </w:r>
          </w:p>
        </w:tc>
        <w:tc>
          <w:tcPr>
            <w:tcW w:w="1742" w:type="dxa"/>
          </w:tcPr>
          <w:p>
            <w:pPr>
              <w:pStyle w:val="TableParagraph"/>
              <w:spacing w:before="1"/>
              <w:ind w:left="112"/>
              <w:rPr>
                <w:sz w:val="22"/>
              </w:rPr>
            </w:pPr>
            <w:r>
              <w:rPr>
                <w:sz w:val="22"/>
              </w:rPr>
              <w:t>Admin</w:t>
            </w:r>
          </w:p>
        </w:tc>
        <w:tc>
          <w:tcPr>
            <w:tcW w:w="1164" w:type="dxa"/>
          </w:tcPr>
          <w:p>
            <w:pPr>
              <w:pStyle w:val="TableParagraph"/>
              <w:rPr>
                <w:rFonts w:ascii="Times New Roman"/>
                <w:sz w:val="20"/>
              </w:rPr>
            </w:pPr>
          </w:p>
        </w:tc>
        <w:tc>
          <w:tcPr>
            <w:tcW w:w="2644" w:type="dxa"/>
          </w:tcPr>
          <w:p>
            <w:pPr>
              <w:pStyle w:val="TableParagraph"/>
              <w:spacing w:line="276" w:lineRule="auto" w:before="1"/>
              <w:ind w:left="112" w:right="1164"/>
              <w:rPr>
                <w:sz w:val="22"/>
              </w:rPr>
            </w:pPr>
            <w:r>
              <w:rPr>
                <w:sz w:val="22"/>
              </w:rPr>
              <w:t>Planning and Administration</w:t>
            </w:r>
          </w:p>
        </w:tc>
        <w:tc>
          <w:tcPr>
            <w:tcW w:w="1320" w:type="dxa"/>
          </w:tcPr>
          <w:p>
            <w:pPr>
              <w:pStyle w:val="TableParagraph"/>
              <w:spacing w:before="1"/>
              <w:ind w:left="632"/>
              <w:rPr>
                <w:sz w:val="22"/>
              </w:rPr>
            </w:pPr>
            <w:r>
              <w:rPr>
                <w:sz w:val="22"/>
              </w:rPr>
              <w:t>CDBG:</w:t>
            </w:r>
          </w:p>
          <w:p>
            <w:pPr>
              <w:pStyle w:val="TableParagraph"/>
              <w:spacing w:before="41"/>
              <w:ind w:left="367"/>
              <w:rPr>
                <w:sz w:val="22"/>
              </w:rPr>
            </w:pPr>
            <w:r>
              <w:rPr>
                <w:sz w:val="22"/>
              </w:rPr>
              <w:t>$800,000</w:t>
            </w:r>
          </w:p>
          <w:p>
            <w:pPr>
              <w:pStyle w:val="TableParagraph"/>
              <w:spacing w:before="2"/>
              <w:rPr>
                <w:b/>
                <w:sz w:val="26"/>
              </w:rPr>
            </w:pPr>
          </w:p>
          <w:p>
            <w:pPr>
              <w:pStyle w:val="TableParagraph"/>
              <w:ind w:left="565"/>
              <w:rPr>
                <w:sz w:val="22"/>
              </w:rPr>
            </w:pPr>
            <w:r>
              <w:rPr>
                <w:sz w:val="22"/>
              </w:rPr>
              <w:t>HOME:</w:t>
            </w:r>
          </w:p>
          <w:p>
            <w:pPr>
              <w:pStyle w:val="TableParagraph"/>
              <w:spacing w:before="41"/>
              <w:ind w:left="367"/>
              <w:rPr>
                <w:sz w:val="22"/>
              </w:rPr>
            </w:pPr>
            <w:r>
              <w:rPr>
                <w:sz w:val="22"/>
              </w:rPr>
              <w:t>$282,500</w:t>
            </w:r>
          </w:p>
        </w:tc>
        <w:tc>
          <w:tcPr>
            <w:tcW w:w="2394" w:type="dxa"/>
          </w:tcPr>
          <w:p>
            <w:pPr>
              <w:pStyle w:val="TableParagraph"/>
              <w:spacing w:before="1"/>
              <w:ind w:left="112"/>
              <w:rPr>
                <w:sz w:val="22"/>
              </w:rPr>
            </w:pPr>
            <w:r>
              <w:rPr>
                <w:sz w:val="22"/>
              </w:rPr>
              <w:t>Other: 10 Other</w:t>
            </w:r>
          </w:p>
        </w:tc>
      </w:tr>
    </w:tbl>
    <w:p>
      <w:pPr>
        <w:spacing w:before="0"/>
        <w:ind w:left="4827" w:right="5486" w:firstLine="0"/>
        <w:jc w:val="center"/>
        <w:rPr>
          <w:rFonts w:ascii="Arial" w:hAnsi="Arial"/>
          <w:b/>
          <w:sz w:val="20"/>
        </w:rPr>
      </w:pPr>
      <w:r>
        <w:rPr>
          <w:rFonts w:ascii="Arial" w:hAnsi="Arial"/>
          <w:b/>
          <w:sz w:val="20"/>
        </w:rPr>
        <w:t>Table 58 – Goals Summary</w:t>
      </w:r>
    </w:p>
    <w:p>
      <w:pPr>
        <w:pStyle w:val="BodyText"/>
        <w:rPr>
          <w:rFonts w:ascii="Arial"/>
          <w:b/>
          <w:sz w:val="20"/>
        </w:rPr>
      </w:pPr>
    </w:p>
    <w:p>
      <w:pPr>
        <w:pStyle w:val="BodyText"/>
        <w:spacing w:before="6"/>
        <w:rPr>
          <w:rFonts w:ascii="Arial"/>
          <w:b/>
        </w:rPr>
      </w:pPr>
    </w:p>
    <w:p>
      <w:pPr>
        <w:pStyle w:val="Heading4"/>
        <w:spacing w:before="52"/>
      </w:pPr>
      <w:r>
        <w:rPr/>
        <w:t>Goal Descriptions</w:t>
      </w:r>
    </w:p>
    <w:p>
      <w:pPr>
        <w:pStyle w:val="BodyText"/>
        <w:spacing w:before="7" w:after="1"/>
        <w:rPr>
          <w:b/>
          <w:sz w:val="19"/>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8"/>
        <w:gridCol w:w="1413"/>
        <w:gridCol w:w="11209"/>
      </w:tblGrid>
      <w:tr>
        <w:trPr>
          <w:trHeight w:val="403" w:hRule="atLeast"/>
        </w:trPr>
        <w:tc>
          <w:tcPr>
            <w:tcW w:w="328" w:type="dxa"/>
            <w:vMerge w:val="restart"/>
          </w:tcPr>
          <w:p>
            <w:pPr>
              <w:pStyle w:val="TableParagraph"/>
              <w:spacing w:before="101"/>
              <w:ind w:left="112"/>
              <w:rPr>
                <w:b/>
                <w:sz w:val="22"/>
              </w:rPr>
            </w:pPr>
            <w:r>
              <w:rPr>
                <w:b/>
                <w:sz w:val="22"/>
              </w:rPr>
              <w:t>1</w:t>
            </w:r>
          </w:p>
        </w:tc>
        <w:tc>
          <w:tcPr>
            <w:tcW w:w="1413" w:type="dxa"/>
          </w:tcPr>
          <w:p>
            <w:pPr>
              <w:pStyle w:val="TableParagraph"/>
              <w:spacing w:before="101"/>
              <w:ind w:left="112"/>
              <w:rPr>
                <w:b/>
                <w:sz w:val="22"/>
              </w:rPr>
            </w:pPr>
            <w:r>
              <w:rPr>
                <w:b/>
                <w:sz w:val="22"/>
              </w:rPr>
              <w:t>Goal Name</w:t>
            </w:r>
          </w:p>
        </w:tc>
        <w:tc>
          <w:tcPr>
            <w:tcW w:w="11209" w:type="dxa"/>
          </w:tcPr>
          <w:p>
            <w:pPr>
              <w:pStyle w:val="TableParagraph"/>
              <w:spacing w:before="101"/>
              <w:ind w:left="112"/>
              <w:rPr>
                <w:sz w:val="22"/>
              </w:rPr>
            </w:pPr>
            <w:r>
              <w:rPr>
                <w:sz w:val="22"/>
              </w:rPr>
              <w:t>Increase Access to and Quality of Affordable Rental Housing</w:t>
            </w:r>
          </w:p>
        </w:tc>
      </w:tr>
      <w:tr>
        <w:trPr>
          <w:trHeight w:val="1021" w:hRule="atLeast"/>
        </w:trPr>
        <w:tc>
          <w:tcPr>
            <w:tcW w:w="328" w:type="dxa"/>
            <w:vMerge/>
            <w:tcBorders>
              <w:top w:val="nil"/>
            </w:tcBorders>
          </w:tcPr>
          <w:p>
            <w:pPr>
              <w:rPr>
                <w:sz w:val="2"/>
                <w:szCs w:val="2"/>
              </w:rPr>
            </w:pPr>
          </w:p>
        </w:tc>
        <w:tc>
          <w:tcPr>
            <w:tcW w:w="1413" w:type="dxa"/>
          </w:tcPr>
          <w:p>
            <w:pPr>
              <w:pStyle w:val="TableParagraph"/>
              <w:spacing w:line="276" w:lineRule="auto" w:before="101"/>
              <w:ind w:left="112" w:right="219"/>
              <w:rPr>
                <w:b/>
                <w:sz w:val="22"/>
              </w:rPr>
            </w:pPr>
            <w:r>
              <w:rPr>
                <w:b/>
                <w:sz w:val="22"/>
              </w:rPr>
              <w:t>Goal Description</w:t>
            </w:r>
          </w:p>
        </w:tc>
        <w:tc>
          <w:tcPr>
            <w:tcW w:w="11209" w:type="dxa"/>
          </w:tcPr>
          <w:p>
            <w:pPr>
              <w:pStyle w:val="TableParagraph"/>
              <w:spacing w:line="310" w:lineRule="atLeast" w:before="60"/>
              <w:ind w:left="112" w:right="553"/>
              <w:rPr>
                <w:sz w:val="22"/>
              </w:rPr>
            </w:pPr>
            <w:r>
              <w:rPr>
                <w:sz w:val="22"/>
              </w:rPr>
              <w:t>The County will provide resources to increase the supply of decent, safe, sanitary and accessible rental housing that is affordable to low- moderate-income households. This could be construction of new units or rehabilitation of existing vacant units/buildings into affordable rental units.</w:t>
            </w:r>
          </w:p>
        </w:tc>
      </w:tr>
      <w:tr>
        <w:trPr>
          <w:trHeight w:val="403" w:hRule="atLeast"/>
        </w:trPr>
        <w:tc>
          <w:tcPr>
            <w:tcW w:w="328" w:type="dxa"/>
            <w:vMerge w:val="restart"/>
          </w:tcPr>
          <w:p>
            <w:pPr>
              <w:pStyle w:val="TableParagraph"/>
              <w:spacing w:before="101"/>
              <w:ind w:left="112"/>
              <w:rPr>
                <w:b/>
                <w:sz w:val="22"/>
              </w:rPr>
            </w:pPr>
            <w:r>
              <w:rPr>
                <w:b/>
                <w:sz w:val="22"/>
              </w:rPr>
              <w:t>2</w:t>
            </w:r>
          </w:p>
        </w:tc>
        <w:tc>
          <w:tcPr>
            <w:tcW w:w="1413" w:type="dxa"/>
          </w:tcPr>
          <w:p>
            <w:pPr>
              <w:pStyle w:val="TableParagraph"/>
              <w:spacing w:before="101"/>
              <w:ind w:left="112"/>
              <w:rPr>
                <w:b/>
                <w:sz w:val="22"/>
              </w:rPr>
            </w:pPr>
            <w:r>
              <w:rPr>
                <w:b/>
                <w:sz w:val="22"/>
              </w:rPr>
              <w:t>Goal Name</w:t>
            </w:r>
          </w:p>
        </w:tc>
        <w:tc>
          <w:tcPr>
            <w:tcW w:w="11209" w:type="dxa"/>
          </w:tcPr>
          <w:p>
            <w:pPr>
              <w:pStyle w:val="TableParagraph"/>
              <w:spacing w:before="101"/>
              <w:ind w:left="112"/>
              <w:rPr>
                <w:sz w:val="22"/>
              </w:rPr>
            </w:pPr>
            <w:r>
              <w:rPr>
                <w:sz w:val="22"/>
              </w:rPr>
              <w:t>Provide Public Facilities and Infrastructure</w:t>
            </w:r>
          </w:p>
        </w:tc>
      </w:tr>
      <w:tr>
        <w:trPr>
          <w:trHeight w:val="712" w:hRule="atLeast"/>
        </w:trPr>
        <w:tc>
          <w:tcPr>
            <w:tcW w:w="328" w:type="dxa"/>
            <w:vMerge/>
            <w:tcBorders>
              <w:top w:val="nil"/>
            </w:tcBorders>
          </w:tcPr>
          <w:p>
            <w:pPr>
              <w:rPr>
                <w:sz w:val="2"/>
                <w:szCs w:val="2"/>
              </w:rPr>
            </w:pPr>
          </w:p>
        </w:tc>
        <w:tc>
          <w:tcPr>
            <w:tcW w:w="1413" w:type="dxa"/>
          </w:tcPr>
          <w:p>
            <w:pPr>
              <w:pStyle w:val="TableParagraph"/>
              <w:spacing w:line="310" w:lineRule="atLeast" w:before="60"/>
              <w:ind w:left="112" w:right="219"/>
              <w:rPr>
                <w:b/>
                <w:sz w:val="22"/>
              </w:rPr>
            </w:pPr>
            <w:r>
              <w:rPr>
                <w:b/>
                <w:sz w:val="22"/>
              </w:rPr>
              <w:t>Goal Description</w:t>
            </w:r>
          </w:p>
        </w:tc>
        <w:tc>
          <w:tcPr>
            <w:tcW w:w="11209" w:type="dxa"/>
          </w:tcPr>
          <w:p>
            <w:pPr>
              <w:pStyle w:val="TableParagraph"/>
              <w:spacing w:before="101"/>
              <w:ind w:left="112"/>
              <w:rPr>
                <w:sz w:val="22"/>
              </w:rPr>
            </w:pPr>
            <w:r>
              <w:rPr>
                <w:sz w:val="22"/>
              </w:rPr>
              <w:t>The County will provide resources for the installation of public infrastructure (water, sewer, streets, sidewalks, utilities).</w:t>
            </w:r>
          </w:p>
        </w:tc>
      </w:tr>
      <w:tr>
        <w:trPr>
          <w:trHeight w:val="403" w:hRule="atLeast"/>
        </w:trPr>
        <w:tc>
          <w:tcPr>
            <w:tcW w:w="328" w:type="dxa"/>
            <w:vMerge w:val="restart"/>
          </w:tcPr>
          <w:p>
            <w:pPr>
              <w:pStyle w:val="TableParagraph"/>
              <w:spacing w:before="101"/>
              <w:ind w:left="112"/>
              <w:rPr>
                <w:b/>
                <w:sz w:val="22"/>
              </w:rPr>
            </w:pPr>
            <w:r>
              <w:rPr>
                <w:b/>
                <w:sz w:val="22"/>
              </w:rPr>
              <w:t>3</w:t>
            </w:r>
          </w:p>
        </w:tc>
        <w:tc>
          <w:tcPr>
            <w:tcW w:w="1413" w:type="dxa"/>
          </w:tcPr>
          <w:p>
            <w:pPr>
              <w:pStyle w:val="TableParagraph"/>
              <w:spacing w:before="101"/>
              <w:ind w:left="112"/>
              <w:rPr>
                <w:b/>
                <w:sz w:val="22"/>
              </w:rPr>
            </w:pPr>
            <w:r>
              <w:rPr>
                <w:b/>
                <w:sz w:val="22"/>
              </w:rPr>
              <w:t>Goal Name</w:t>
            </w:r>
          </w:p>
        </w:tc>
        <w:tc>
          <w:tcPr>
            <w:tcW w:w="11209" w:type="dxa"/>
          </w:tcPr>
          <w:p>
            <w:pPr>
              <w:pStyle w:val="TableParagraph"/>
              <w:spacing w:before="101"/>
              <w:ind w:left="112"/>
              <w:rPr>
                <w:sz w:val="22"/>
              </w:rPr>
            </w:pPr>
            <w:r>
              <w:rPr>
                <w:sz w:val="22"/>
              </w:rPr>
              <w:t>Provide Public Services</w:t>
            </w:r>
          </w:p>
        </w:tc>
      </w:tr>
      <w:tr>
        <w:trPr>
          <w:trHeight w:val="712" w:hRule="atLeast"/>
        </w:trPr>
        <w:tc>
          <w:tcPr>
            <w:tcW w:w="328" w:type="dxa"/>
            <w:vMerge/>
            <w:tcBorders>
              <w:top w:val="nil"/>
            </w:tcBorders>
          </w:tcPr>
          <w:p>
            <w:pPr>
              <w:rPr>
                <w:sz w:val="2"/>
                <w:szCs w:val="2"/>
              </w:rPr>
            </w:pPr>
          </w:p>
        </w:tc>
        <w:tc>
          <w:tcPr>
            <w:tcW w:w="1413" w:type="dxa"/>
          </w:tcPr>
          <w:p>
            <w:pPr>
              <w:pStyle w:val="TableParagraph"/>
              <w:spacing w:line="310" w:lineRule="atLeast" w:before="60"/>
              <w:ind w:left="112" w:right="219"/>
              <w:rPr>
                <w:b/>
                <w:sz w:val="22"/>
              </w:rPr>
            </w:pPr>
            <w:r>
              <w:rPr>
                <w:b/>
                <w:sz w:val="22"/>
              </w:rPr>
              <w:t>Goal Description</w:t>
            </w:r>
          </w:p>
        </w:tc>
        <w:tc>
          <w:tcPr>
            <w:tcW w:w="11209" w:type="dxa"/>
          </w:tcPr>
          <w:p>
            <w:pPr>
              <w:pStyle w:val="TableParagraph"/>
              <w:spacing w:line="310" w:lineRule="atLeast" w:before="60"/>
              <w:ind w:left="112" w:right="600"/>
              <w:rPr>
                <w:sz w:val="22"/>
              </w:rPr>
            </w:pPr>
            <w:r>
              <w:rPr>
                <w:sz w:val="22"/>
              </w:rPr>
              <w:t>Fund organizations providing services lifting individuals out of poverty, including financial assistance, food assistance, shelter, education, and more.</w:t>
            </w:r>
          </w:p>
        </w:tc>
      </w:tr>
      <w:tr>
        <w:trPr>
          <w:trHeight w:val="403" w:hRule="atLeast"/>
        </w:trPr>
        <w:tc>
          <w:tcPr>
            <w:tcW w:w="328" w:type="dxa"/>
            <w:vMerge w:val="restart"/>
          </w:tcPr>
          <w:p>
            <w:pPr>
              <w:pStyle w:val="TableParagraph"/>
              <w:spacing w:before="101"/>
              <w:ind w:left="112"/>
              <w:rPr>
                <w:b/>
                <w:sz w:val="22"/>
              </w:rPr>
            </w:pPr>
            <w:r>
              <w:rPr>
                <w:b/>
                <w:sz w:val="22"/>
              </w:rPr>
              <w:t>4</w:t>
            </w:r>
          </w:p>
        </w:tc>
        <w:tc>
          <w:tcPr>
            <w:tcW w:w="1413" w:type="dxa"/>
          </w:tcPr>
          <w:p>
            <w:pPr>
              <w:pStyle w:val="TableParagraph"/>
              <w:spacing w:before="101"/>
              <w:ind w:left="112"/>
              <w:rPr>
                <w:b/>
                <w:sz w:val="22"/>
              </w:rPr>
            </w:pPr>
            <w:r>
              <w:rPr>
                <w:b/>
                <w:sz w:val="22"/>
              </w:rPr>
              <w:t>Goal Name</w:t>
            </w:r>
          </w:p>
        </w:tc>
        <w:tc>
          <w:tcPr>
            <w:tcW w:w="11209" w:type="dxa"/>
          </w:tcPr>
          <w:p>
            <w:pPr>
              <w:pStyle w:val="TableParagraph"/>
              <w:spacing w:before="101"/>
              <w:ind w:left="112"/>
              <w:rPr>
                <w:sz w:val="22"/>
              </w:rPr>
            </w:pPr>
            <w:r>
              <w:rPr>
                <w:sz w:val="22"/>
              </w:rPr>
              <w:t>Provide Homeless Housing and Services</w:t>
            </w:r>
          </w:p>
        </w:tc>
      </w:tr>
      <w:tr>
        <w:trPr>
          <w:trHeight w:val="1639" w:hRule="atLeast"/>
        </w:trPr>
        <w:tc>
          <w:tcPr>
            <w:tcW w:w="328" w:type="dxa"/>
            <w:vMerge/>
            <w:tcBorders>
              <w:top w:val="nil"/>
            </w:tcBorders>
          </w:tcPr>
          <w:p>
            <w:pPr>
              <w:rPr>
                <w:sz w:val="2"/>
                <w:szCs w:val="2"/>
              </w:rPr>
            </w:pPr>
          </w:p>
        </w:tc>
        <w:tc>
          <w:tcPr>
            <w:tcW w:w="1413" w:type="dxa"/>
          </w:tcPr>
          <w:p>
            <w:pPr>
              <w:pStyle w:val="TableParagraph"/>
              <w:spacing w:line="276" w:lineRule="auto" w:before="101"/>
              <w:ind w:left="112" w:right="219"/>
              <w:rPr>
                <w:b/>
                <w:sz w:val="22"/>
              </w:rPr>
            </w:pPr>
            <w:r>
              <w:rPr>
                <w:b/>
                <w:sz w:val="22"/>
              </w:rPr>
              <w:t>Goal Description</w:t>
            </w:r>
          </w:p>
        </w:tc>
        <w:tc>
          <w:tcPr>
            <w:tcW w:w="11209" w:type="dxa"/>
          </w:tcPr>
          <w:p>
            <w:pPr>
              <w:pStyle w:val="TableParagraph"/>
              <w:spacing w:line="310" w:lineRule="atLeast" w:before="60"/>
              <w:ind w:left="112" w:right="130"/>
              <w:rPr>
                <w:sz w:val="22"/>
              </w:rPr>
            </w:pPr>
            <w:r>
              <w:rPr>
                <w:sz w:val="22"/>
              </w:rPr>
              <w:t>Provide funds to support shelter operations and transitional housing. Acquisition, construction, or rehabilitation of temporary shelters and transitional housing for the homeless, including victims of domestic violence, veterans, disaster victims, families with children, unaccompanied youth, drug offenders, and formerly incarcerated persons. Provide funding to increase permanent supportive housing opportunities and work to create a stronger network of providers of supportive and mainstream services to homeless clients.</w:t>
            </w:r>
          </w:p>
        </w:tc>
      </w:tr>
    </w:tbl>
    <w:p>
      <w:pPr>
        <w:spacing w:after="0" w:line="310" w:lineRule="atLeast"/>
        <w:rPr>
          <w:sz w:val="22"/>
        </w:rPr>
        <w:sectPr>
          <w:headerReference w:type="default" r:id="rId127"/>
          <w:footerReference w:type="default" r:id="rId128"/>
          <w:pgSz w:w="15840" w:h="12240" w:orient="landscape"/>
          <w:pgMar w:header="0" w:footer="1072" w:top="1140" w:bottom="1260" w:left="1220" w:right="560"/>
          <w:pgNumType w:start="107"/>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8"/>
        <w:gridCol w:w="1413"/>
        <w:gridCol w:w="11209"/>
      </w:tblGrid>
      <w:tr>
        <w:trPr>
          <w:trHeight w:val="403" w:hRule="atLeast"/>
        </w:trPr>
        <w:tc>
          <w:tcPr>
            <w:tcW w:w="328" w:type="dxa"/>
            <w:vMerge w:val="restart"/>
          </w:tcPr>
          <w:p>
            <w:pPr>
              <w:pStyle w:val="TableParagraph"/>
              <w:spacing w:before="101"/>
              <w:ind w:left="112"/>
              <w:rPr>
                <w:b/>
                <w:sz w:val="22"/>
              </w:rPr>
            </w:pPr>
            <w:r>
              <w:rPr>
                <w:b/>
                <w:sz w:val="22"/>
              </w:rPr>
              <w:t>5</w:t>
            </w:r>
          </w:p>
        </w:tc>
        <w:tc>
          <w:tcPr>
            <w:tcW w:w="1413" w:type="dxa"/>
          </w:tcPr>
          <w:p>
            <w:pPr>
              <w:pStyle w:val="TableParagraph"/>
              <w:spacing w:before="101"/>
              <w:ind w:left="112"/>
              <w:rPr>
                <w:b/>
                <w:sz w:val="22"/>
              </w:rPr>
            </w:pPr>
            <w:r>
              <w:rPr>
                <w:b/>
                <w:sz w:val="22"/>
              </w:rPr>
              <w:t>Goal Name</w:t>
            </w:r>
          </w:p>
        </w:tc>
        <w:tc>
          <w:tcPr>
            <w:tcW w:w="11209" w:type="dxa"/>
          </w:tcPr>
          <w:p>
            <w:pPr>
              <w:pStyle w:val="TableParagraph"/>
              <w:spacing w:before="101"/>
              <w:ind w:left="112"/>
              <w:rPr>
                <w:sz w:val="22"/>
              </w:rPr>
            </w:pPr>
            <w:r>
              <w:rPr>
                <w:sz w:val="22"/>
              </w:rPr>
              <w:t>Planning and Administration</w:t>
            </w:r>
          </w:p>
        </w:tc>
      </w:tr>
      <w:tr>
        <w:trPr>
          <w:trHeight w:val="712" w:hRule="atLeast"/>
        </w:trPr>
        <w:tc>
          <w:tcPr>
            <w:tcW w:w="328" w:type="dxa"/>
            <w:vMerge/>
            <w:tcBorders>
              <w:top w:val="nil"/>
            </w:tcBorders>
          </w:tcPr>
          <w:p>
            <w:pPr>
              <w:rPr>
                <w:sz w:val="2"/>
                <w:szCs w:val="2"/>
              </w:rPr>
            </w:pPr>
          </w:p>
        </w:tc>
        <w:tc>
          <w:tcPr>
            <w:tcW w:w="1413" w:type="dxa"/>
          </w:tcPr>
          <w:p>
            <w:pPr>
              <w:pStyle w:val="TableParagraph"/>
              <w:spacing w:line="310" w:lineRule="atLeast" w:before="60"/>
              <w:ind w:left="112" w:right="219"/>
              <w:rPr>
                <w:b/>
                <w:sz w:val="22"/>
              </w:rPr>
            </w:pPr>
            <w:r>
              <w:rPr>
                <w:b/>
                <w:sz w:val="22"/>
              </w:rPr>
              <w:t>Goal Description</w:t>
            </w:r>
          </w:p>
        </w:tc>
        <w:tc>
          <w:tcPr>
            <w:tcW w:w="11209" w:type="dxa"/>
          </w:tcPr>
          <w:p>
            <w:pPr>
              <w:pStyle w:val="TableParagraph"/>
              <w:spacing w:before="101"/>
              <w:ind w:left="112"/>
              <w:rPr>
                <w:sz w:val="22"/>
              </w:rPr>
            </w:pPr>
            <w:r>
              <w:rPr>
                <w:sz w:val="22"/>
              </w:rPr>
              <w:t>City will provide effective and efficient program management and oversight.</w:t>
            </w:r>
          </w:p>
        </w:tc>
      </w:tr>
    </w:tbl>
    <w:p>
      <w:pPr>
        <w:pStyle w:val="BodyText"/>
        <w:rPr>
          <w:b/>
          <w:sz w:val="20"/>
        </w:rPr>
      </w:pPr>
    </w:p>
    <w:p>
      <w:pPr>
        <w:pStyle w:val="BodyText"/>
        <w:spacing w:before="1"/>
        <w:rPr>
          <w:b/>
          <w:sz w:val="20"/>
        </w:rPr>
      </w:pPr>
    </w:p>
    <w:p>
      <w:pPr>
        <w:spacing w:line="276" w:lineRule="auto" w:before="52"/>
        <w:ind w:left="220" w:right="964" w:firstLine="0"/>
        <w:jc w:val="left"/>
        <w:rPr>
          <w:b/>
          <w:sz w:val="24"/>
        </w:rPr>
      </w:pPr>
      <w:r>
        <w:rPr>
          <w:b/>
          <w:sz w:val="24"/>
        </w:rPr>
        <w:t>Estimate the number of extremely low-income, low-income, and moderate-income families to whom the jurisdiction will provide affordable housing as defined by HOME 91.315(b)(2)</w:t>
      </w:r>
    </w:p>
    <w:p>
      <w:pPr>
        <w:pStyle w:val="BodyText"/>
        <w:spacing w:before="199"/>
        <w:ind w:left="220"/>
      </w:pPr>
      <w:r>
        <w:rPr/>
        <w:t>The City aims to create 50 new HOME-assisted housing units over the next five years for occupancy by low- and moderate-income households.</w:t>
      </w:r>
    </w:p>
    <w:p>
      <w:pPr>
        <w:spacing w:after="0"/>
        <w:sectPr>
          <w:headerReference w:type="default" r:id="rId129"/>
          <w:footerReference w:type="default" r:id="rId130"/>
          <w:pgSz w:w="15840" w:h="12240" w:orient="landscape"/>
          <w:pgMar w:header="0" w:footer="1072" w:top="1140" w:bottom="1260" w:left="1220" w:right="560"/>
          <w:pgNumType w:start="108"/>
        </w:sectPr>
      </w:pPr>
    </w:p>
    <w:p>
      <w:pPr>
        <w:pStyle w:val="Heading4"/>
        <w:spacing w:before="143"/>
      </w:pPr>
      <w:r>
        <w:rPr/>
        <w:t>Need to Increase the Number of Accessible Units (if Required by a Section 504 Voluntary Compliance Agreement)</w:t>
      </w:r>
    </w:p>
    <w:p>
      <w:pPr>
        <w:pStyle w:val="BodyText"/>
        <w:spacing w:before="11"/>
        <w:rPr>
          <w:b/>
          <w:sz w:val="19"/>
        </w:rPr>
      </w:pPr>
    </w:p>
    <w:p>
      <w:pPr>
        <w:pStyle w:val="BodyText"/>
        <w:spacing w:line="276" w:lineRule="auto"/>
        <w:ind w:left="220" w:right="965"/>
      </w:pPr>
      <w:r>
        <w:rPr/>
        <w:t>The Bloomington Housing Authority (BHA) no longer operates public housing, having transitioned to the Rental Assistance Demonstration (RAD) program. During conversion, units have been upgraded to be ADA compliant as needed.</w:t>
      </w:r>
    </w:p>
    <w:p>
      <w:pPr>
        <w:pStyle w:val="BodyText"/>
        <w:spacing w:before="5"/>
        <w:rPr>
          <w:sz w:val="16"/>
        </w:rPr>
      </w:pPr>
    </w:p>
    <w:p>
      <w:pPr>
        <w:pStyle w:val="Heading4"/>
      </w:pPr>
      <w:r>
        <w:rPr/>
        <w:t>Activities to Increase Resident Involvements</w:t>
      </w:r>
    </w:p>
    <w:p>
      <w:pPr>
        <w:pStyle w:val="BodyText"/>
        <w:spacing w:before="8"/>
        <w:rPr>
          <w:b/>
          <w:sz w:val="19"/>
        </w:rPr>
      </w:pPr>
    </w:p>
    <w:p>
      <w:pPr>
        <w:pStyle w:val="BodyText"/>
        <w:spacing w:line="276" w:lineRule="auto"/>
        <w:ind w:left="220" w:right="1163"/>
        <w:rPr>
          <w:rFonts w:ascii="Arial" w:hAnsi="Arial"/>
        </w:rPr>
      </w:pPr>
      <w:r>
        <w:rPr>
          <w:rFonts w:ascii="Arial" w:hAnsi="Arial"/>
        </w:rPr>
        <w:t>The City of Bloomington’s poverty reducing goals, programs and policies aim to increase the incomes of City residents and reduce the number of people who are living in poverty by moving them toward self-sufficiency. Increased income makes housing more affordable by reducing housing cost burden and by increasing the number of people who can afford to purchase or rent units produced by the City’s housing rehabilitation and new construction programs and its rental assistance and homebuyer assistance programs.</w:t>
      </w:r>
    </w:p>
    <w:p>
      <w:pPr>
        <w:pStyle w:val="BodyText"/>
        <w:spacing w:line="276" w:lineRule="auto" w:before="200"/>
        <w:ind w:left="220" w:right="942"/>
        <w:rPr>
          <w:rFonts w:ascii="Arial"/>
        </w:rPr>
      </w:pPr>
      <w:r>
        <w:rPr>
          <w:rFonts w:ascii="Arial"/>
        </w:rPr>
        <w:t>Through RAD conversion, the BHA has included a number of amenities that improve the living environment for its residents. An expanded and remodeled community center hosts educational and enrichment events for residents of Crestmont and the Rev Butler neighborhoods, including a food pantry, resident services shuttle, youth activities with a focus on safety, health and schools fairs and financial literacy. A community garden, enclosed bicycle parking, all new landscaping were also part of the renovations.</w:t>
      </w:r>
    </w:p>
    <w:p>
      <w:pPr>
        <w:pStyle w:val="BodyText"/>
        <w:spacing w:line="276" w:lineRule="auto" w:before="200"/>
        <w:ind w:left="220" w:right="918"/>
        <w:rPr>
          <w:rFonts w:ascii="Arial"/>
        </w:rPr>
      </w:pPr>
      <w:r>
        <w:rPr>
          <w:rFonts w:ascii="Arial"/>
        </w:rPr>
        <w:t>The BHA is partnering with the City of Bloomington Economic and Sustainable Development and Canopy Bloomington to take part in a Cool Corridors project. Cool corridors address areas where people are exposed to extreme heat while walking or bicycling and cooling strategies have been implemented such as planting trees, sheltering bus stops, increasing green infrastructure such as bioswales and installing public drinking water fountains.</w:t>
      </w:r>
    </w:p>
    <w:p>
      <w:pPr>
        <w:pStyle w:val="Heading4"/>
        <w:spacing w:before="204"/>
      </w:pPr>
      <w:r>
        <w:rPr/>
        <w:t>Is the public housing agency designated as troubled under 24 CFR part 902?</w:t>
      </w:r>
    </w:p>
    <w:p>
      <w:pPr>
        <w:pStyle w:val="BodyText"/>
        <w:rPr>
          <w:b/>
          <w:sz w:val="20"/>
        </w:rPr>
      </w:pPr>
    </w:p>
    <w:p>
      <w:pPr>
        <w:pStyle w:val="Heading5"/>
        <w:ind w:left="220" w:firstLine="0"/>
      </w:pPr>
      <w:r>
        <w:rPr/>
        <w:t>No</w:t>
      </w:r>
    </w:p>
    <w:p>
      <w:pPr>
        <w:pStyle w:val="BodyText"/>
        <w:rPr>
          <w:sz w:val="20"/>
        </w:rPr>
      </w:pPr>
    </w:p>
    <w:p>
      <w:pPr>
        <w:spacing w:before="0"/>
        <w:ind w:left="220" w:right="0" w:firstLine="0"/>
        <w:jc w:val="left"/>
        <w:rPr>
          <w:b/>
          <w:sz w:val="24"/>
        </w:rPr>
      </w:pPr>
      <w:r>
        <w:rPr>
          <w:b/>
          <w:sz w:val="24"/>
        </w:rPr>
        <w:t>Plan to remove the ‘troubled’ designation</w:t>
      </w:r>
    </w:p>
    <w:p>
      <w:pPr>
        <w:pStyle w:val="BodyText"/>
        <w:rPr>
          <w:b/>
          <w:sz w:val="20"/>
        </w:rPr>
      </w:pPr>
    </w:p>
    <w:p>
      <w:pPr>
        <w:spacing w:before="0"/>
        <w:ind w:left="220" w:right="0" w:firstLine="0"/>
        <w:jc w:val="left"/>
        <w:rPr>
          <w:sz w:val="24"/>
        </w:rPr>
      </w:pPr>
      <w:r>
        <w:rPr>
          <w:sz w:val="24"/>
        </w:rPr>
        <w:t>N/A</w:t>
      </w:r>
    </w:p>
    <w:p>
      <w:pPr>
        <w:spacing w:after="0"/>
        <w:jc w:val="left"/>
        <w:rPr>
          <w:sz w:val="24"/>
        </w:rPr>
        <w:sectPr>
          <w:headerReference w:type="default" r:id="rId131"/>
          <w:footerReference w:type="default" r:id="rId132"/>
          <w:pgSz w:w="15840" w:h="12240" w:orient="landscape"/>
          <w:pgMar w:header="1671" w:footer="1072" w:top="1980" w:bottom="1260" w:left="1220" w:right="560"/>
          <w:pgNumType w:start="109"/>
        </w:sectPr>
      </w:pPr>
    </w:p>
    <w:p>
      <w:pPr>
        <w:spacing w:before="143"/>
        <w:ind w:left="220" w:right="0" w:firstLine="0"/>
        <w:jc w:val="left"/>
        <w:rPr>
          <w:b/>
          <w:sz w:val="24"/>
        </w:rPr>
      </w:pPr>
      <w:r>
        <w:rPr>
          <w:b/>
          <w:sz w:val="24"/>
        </w:rPr>
        <w:t>Barriers to Affordable Housing</w:t>
      </w:r>
    </w:p>
    <w:p>
      <w:pPr>
        <w:pStyle w:val="BodyText"/>
        <w:spacing w:before="11"/>
        <w:rPr>
          <w:b/>
          <w:sz w:val="19"/>
        </w:rPr>
      </w:pPr>
    </w:p>
    <w:p>
      <w:pPr>
        <w:pStyle w:val="BodyText"/>
        <w:ind w:left="220"/>
      </w:pPr>
      <w:r>
        <w:rPr/>
        <w:t>Based on the analysis conducted in the AI, the following impediments to fair housing choice were identified:</w:t>
      </w:r>
    </w:p>
    <w:p>
      <w:pPr>
        <w:pStyle w:val="BodyText"/>
        <w:spacing w:before="4"/>
        <w:rPr>
          <w:sz w:val="19"/>
        </w:rPr>
      </w:pPr>
    </w:p>
    <w:p>
      <w:pPr>
        <w:pStyle w:val="ListParagraph"/>
        <w:numPr>
          <w:ilvl w:val="0"/>
          <w:numId w:val="15"/>
        </w:numPr>
        <w:tabs>
          <w:tab w:pos="994" w:val="left" w:leader="none"/>
          <w:tab w:pos="995" w:val="left" w:leader="none"/>
        </w:tabs>
        <w:spacing w:line="278" w:lineRule="auto" w:before="1" w:after="0"/>
        <w:ind w:left="995" w:right="1185" w:hanging="360"/>
        <w:jc w:val="left"/>
        <w:rPr>
          <w:sz w:val="22"/>
        </w:rPr>
      </w:pPr>
      <w:r>
        <w:rPr>
          <w:position w:val="1"/>
          <w:sz w:val="22"/>
        </w:rPr>
        <w:t>A lack of affordable housing has a greater negative impact on lower income families with children, minorities, people with </w:t>
      </w:r>
      <w:r>
        <w:rPr>
          <w:spacing w:val="-2"/>
          <w:position w:val="1"/>
          <w:sz w:val="22"/>
        </w:rPr>
        <w:t>disabilities</w:t>
      </w:r>
      <w:r>
        <w:rPr>
          <w:spacing w:val="-2"/>
          <w:sz w:val="22"/>
        </w:rPr>
        <w:t> </w:t>
      </w:r>
      <w:r>
        <w:rPr>
          <w:sz w:val="22"/>
        </w:rPr>
        <w:t>and potentially other members of the protected classes.</w:t>
      </w:r>
    </w:p>
    <w:p>
      <w:pPr>
        <w:pStyle w:val="ListParagraph"/>
        <w:numPr>
          <w:ilvl w:val="0"/>
          <w:numId w:val="15"/>
        </w:numPr>
        <w:tabs>
          <w:tab w:pos="994" w:val="left" w:leader="none"/>
          <w:tab w:pos="995" w:val="left" w:leader="none"/>
        </w:tabs>
        <w:spacing w:line="240" w:lineRule="auto" w:before="194" w:after="0"/>
        <w:ind w:left="995" w:right="0" w:hanging="360"/>
        <w:jc w:val="left"/>
        <w:rPr>
          <w:sz w:val="22"/>
        </w:rPr>
      </w:pPr>
      <w:r>
        <w:rPr>
          <w:position w:val="1"/>
          <w:sz w:val="22"/>
        </w:rPr>
        <w:t>Since the previous AI, the City of Bloomington adopted a Unified Development Ordinance (UDO) in 2020.</w:t>
      </w:r>
    </w:p>
    <w:p>
      <w:pPr>
        <w:pStyle w:val="ListParagraph"/>
        <w:numPr>
          <w:ilvl w:val="1"/>
          <w:numId w:val="15"/>
        </w:numPr>
        <w:tabs>
          <w:tab w:pos="1714" w:val="left" w:leader="none"/>
          <w:tab w:pos="1715" w:val="left" w:leader="none"/>
        </w:tabs>
        <w:spacing w:line="259" w:lineRule="auto" w:before="143" w:after="0"/>
        <w:ind w:left="1715" w:right="1129" w:hanging="360"/>
        <w:jc w:val="left"/>
        <w:rPr>
          <w:sz w:val="22"/>
        </w:rPr>
      </w:pPr>
      <w:r>
        <w:rPr>
          <w:sz w:val="22"/>
        </w:rPr>
        <w:t>Based on a Zoning Risk Assessment conducted Bloomington’s UDO, the city is low risk relative to discriminatory provisions </w:t>
      </w:r>
      <w:r>
        <w:rPr>
          <w:spacing w:val="-6"/>
          <w:sz w:val="22"/>
        </w:rPr>
        <w:t>for </w:t>
      </w:r>
      <w:r>
        <w:rPr>
          <w:sz w:val="22"/>
        </w:rPr>
        <w:t>housing and members of the protected classes.</w:t>
      </w:r>
    </w:p>
    <w:p>
      <w:pPr>
        <w:pStyle w:val="ListParagraph"/>
        <w:numPr>
          <w:ilvl w:val="1"/>
          <w:numId w:val="15"/>
        </w:numPr>
        <w:tabs>
          <w:tab w:pos="1714" w:val="left" w:leader="none"/>
          <w:tab w:pos="1715" w:val="left" w:leader="none"/>
        </w:tabs>
        <w:spacing w:line="259" w:lineRule="auto" w:before="0" w:after="0"/>
        <w:ind w:left="1715" w:right="1197" w:hanging="360"/>
        <w:jc w:val="left"/>
        <w:rPr>
          <w:sz w:val="22"/>
        </w:rPr>
      </w:pPr>
      <w:r>
        <w:rPr>
          <w:sz w:val="22"/>
        </w:rPr>
        <w:t>However, developers have mentioned potential barriers to creating affordable housing because of provisions required </w:t>
      </w:r>
      <w:r>
        <w:rPr>
          <w:spacing w:val="-4"/>
          <w:sz w:val="22"/>
        </w:rPr>
        <w:t>under </w:t>
      </w:r>
      <w:r>
        <w:rPr>
          <w:sz w:val="22"/>
        </w:rPr>
        <w:t>the UDO.</w:t>
      </w:r>
    </w:p>
    <w:p>
      <w:pPr>
        <w:pStyle w:val="ListParagraph"/>
        <w:numPr>
          <w:ilvl w:val="0"/>
          <w:numId w:val="15"/>
        </w:numPr>
        <w:tabs>
          <w:tab w:pos="994" w:val="left" w:leader="none"/>
          <w:tab w:pos="995" w:val="left" w:leader="none"/>
        </w:tabs>
        <w:spacing w:line="240" w:lineRule="auto" w:before="195" w:after="0"/>
        <w:ind w:left="995" w:right="0" w:hanging="360"/>
        <w:jc w:val="left"/>
        <w:rPr>
          <w:sz w:val="22"/>
        </w:rPr>
      </w:pPr>
      <w:r>
        <w:rPr>
          <w:position w:val="1"/>
          <w:sz w:val="22"/>
        </w:rPr>
        <w:t>Minorities are underrepresented among homeowners.</w:t>
      </w:r>
    </w:p>
    <w:p>
      <w:pPr>
        <w:pStyle w:val="BodyText"/>
        <w:rPr>
          <w:sz w:val="20"/>
        </w:rPr>
      </w:pPr>
    </w:p>
    <w:p>
      <w:pPr>
        <w:pStyle w:val="Heading4"/>
      </w:pPr>
      <w:r>
        <w:rPr/>
        <w:t>Strategy to Remove or Ameliorate the Barriers to Affordable Housing</w:t>
      </w:r>
    </w:p>
    <w:p>
      <w:pPr>
        <w:pStyle w:val="BodyText"/>
        <w:spacing w:before="8"/>
        <w:rPr>
          <w:b/>
          <w:sz w:val="19"/>
        </w:rPr>
      </w:pPr>
    </w:p>
    <w:tbl>
      <w:tblPr>
        <w:tblW w:w="0" w:type="auto"/>
        <w:jc w:val="left"/>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55"/>
      </w:tblGrid>
      <w:tr>
        <w:trPr>
          <w:trHeight w:val="457" w:hRule="atLeast"/>
        </w:trPr>
        <w:tc>
          <w:tcPr>
            <w:tcW w:w="12955" w:type="dxa"/>
            <w:tcBorders>
              <w:top w:val="nil"/>
              <w:left w:val="nil"/>
            </w:tcBorders>
          </w:tcPr>
          <w:p>
            <w:pPr>
              <w:pStyle w:val="TableParagraph"/>
              <w:spacing w:line="230" w:lineRule="atLeast"/>
              <w:ind w:left="119" w:right="390"/>
              <w:rPr>
                <w:rFonts w:ascii="Arial"/>
                <w:sz w:val="20"/>
              </w:rPr>
            </w:pPr>
            <w:r>
              <w:rPr>
                <w:rFonts w:ascii="Arial"/>
                <w:b/>
                <w:sz w:val="20"/>
              </w:rPr>
              <w:t>Strategy 1.1: </w:t>
            </w:r>
            <w:r>
              <w:rPr>
                <w:rFonts w:ascii="Arial"/>
                <w:sz w:val="20"/>
              </w:rPr>
              <w:t>Utilize program funds for the development of new housing in areas that have not previously seen heavy investment, such as in communities north and east of US 45.</w:t>
            </w:r>
          </w:p>
        </w:tc>
      </w:tr>
      <w:tr>
        <w:trPr>
          <w:trHeight w:val="451" w:hRule="atLeast"/>
        </w:trPr>
        <w:tc>
          <w:tcPr>
            <w:tcW w:w="12955" w:type="dxa"/>
            <w:tcBorders>
              <w:left w:val="nil"/>
            </w:tcBorders>
          </w:tcPr>
          <w:p>
            <w:pPr>
              <w:pStyle w:val="TableParagraph"/>
              <w:spacing w:line="225" w:lineRule="exact"/>
              <w:ind w:left="119"/>
              <w:rPr>
                <w:rFonts w:ascii="Arial"/>
                <w:sz w:val="20"/>
              </w:rPr>
            </w:pPr>
            <w:r>
              <w:rPr>
                <w:rFonts w:ascii="Arial"/>
                <w:b/>
                <w:sz w:val="20"/>
              </w:rPr>
              <w:t>Strategy 3.1: </w:t>
            </w:r>
            <w:r>
              <w:rPr>
                <w:rFonts w:ascii="Arial"/>
                <w:sz w:val="20"/>
              </w:rPr>
              <w:t>Develop partnerships with HUD-certified housing counselors and local lenders to offer homebuyer education and financial literacy</w:t>
            </w:r>
          </w:p>
          <w:p>
            <w:pPr>
              <w:pStyle w:val="TableParagraph"/>
              <w:spacing w:line="207" w:lineRule="exact"/>
              <w:ind w:left="119"/>
              <w:rPr>
                <w:rFonts w:ascii="Arial"/>
                <w:sz w:val="20"/>
              </w:rPr>
            </w:pPr>
            <w:r>
              <w:rPr>
                <w:rFonts w:ascii="Arial"/>
                <w:sz w:val="20"/>
              </w:rPr>
              <w:t>programs</w:t>
            </w:r>
          </w:p>
        </w:tc>
      </w:tr>
      <w:tr>
        <w:trPr>
          <w:trHeight w:val="454" w:hRule="atLeast"/>
        </w:trPr>
        <w:tc>
          <w:tcPr>
            <w:tcW w:w="12955" w:type="dxa"/>
            <w:tcBorders>
              <w:left w:val="nil"/>
            </w:tcBorders>
          </w:tcPr>
          <w:p>
            <w:pPr>
              <w:pStyle w:val="TableParagraph"/>
              <w:spacing w:line="230" w:lineRule="exact" w:before="1"/>
              <w:ind w:left="119" w:right="634"/>
              <w:rPr>
                <w:rFonts w:ascii="Arial"/>
                <w:sz w:val="20"/>
              </w:rPr>
            </w:pPr>
            <w:r>
              <w:rPr>
                <w:rFonts w:ascii="Arial"/>
                <w:b/>
                <w:sz w:val="20"/>
              </w:rPr>
              <w:t>Strategy 3.2: </w:t>
            </w:r>
            <w:r>
              <w:rPr>
                <w:rFonts w:ascii="Arial"/>
                <w:sz w:val="20"/>
              </w:rPr>
              <w:t>Continue funding of projects to foster and maintain affordable housing such as down payment and closing costs assistance, rental deposit programming, home repairs, Residential Rental occupancy Program, and more.</w:t>
            </w:r>
          </w:p>
        </w:tc>
      </w:tr>
      <w:tr>
        <w:trPr>
          <w:trHeight w:val="233" w:hRule="atLeast"/>
        </w:trPr>
        <w:tc>
          <w:tcPr>
            <w:tcW w:w="12955" w:type="dxa"/>
            <w:tcBorders>
              <w:left w:val="nil"/>
            </w:tcBorders>
          </w:tcPr>
          <w:p>
            <w:pPr>
              <w:pStyle w:val="TableParagraph"/>
              <w:spacing w:line="213" w:lineRule="exact"/>
              <w:ind w:left="119"/>
              <w:rPr>
                <w:sz w:val="20"/>
              </w:rPr>
            </w:pPr>
            <w:r>
              <w:rPr>
                <w:b/>
                <w:sz w:val="20"/>
              </w:rPr>
              <w:t>Strategy 2.1</w:t>
            </w:r>
            <w:r>
              <w:rPr>
                <w:sz w:val="20"/>
              </w:rPr>
              <w:t>: Continue and expand fair housing education efforts conducted through Bloomington/Monroe County Human Rights Commission.</w:t>
            </w:r>
          </w:p>
        </w:tc>
      </w:tr>
      <w:tr>
        <w:trPr>
          <w:trHeight w:val="454" w:hRule="atLeast"/>
        </w:trPr>
        <w:tc>
          <w:tcPr>
            <w:tcW w:w="12955" w:type="dxa"/>
            <w:tcBorders>
              <w:left w:val="nil"/>
            </w:tcBorders>
          </w:tcPr>
          <w:p>
            <w:pPr>
              <w:pStyle w:val="TableParagraph"/>
              <w:spacing w:line="230" w:lineRule="exact" w:before="1"/>
              <w:ind w:left="119" w:right="468"/>
              <w:rPr>
                <w:rFonts w:ascii="Arial"/>
                <w:sz w:val="20"/>
              </w:rPr>
            </w:pPr>
            <w:r>
              <w:rPr>
                <w:rFonts w:ascii="Arial"/>
                <w:b/>
                <w:sz w:val="20"/>
              </w:rPr>
              <w:t>Strategy 2.2: </w:t>
            </w:r>
            <w:r>
              <w:rPr>
                <w:rFonts w:ascii="Arial"/>
                <w:sz w:val="20"/>
              </w:rPr>
              <w:t>Continue maintaining a record of fair housing complaints filed to BMCHRC and publishing reports to ensure transparency and awareness of local fair housing issues.</w:t>
            </w:r>
          </w:p>
        </w:tc>
      </w:tr>
      <w:tr>
        <w:trPr>
          <w:trHeight w:val="448" w:hRule="atLeast"/>
        </w:trPr>
        <w:tc>
          <w:tcPr>
            <w:tcW w:w="12955" w:type="dxa"/>
            <w:tcBorders>
              <w:left w:val="nil"/>
            </w:tcBorders>
          </w:tcPr>
          <w:p>
            <w:pPr>
              <w:pStyle w:val="TableParagraph"/>
              <w:spacing w:line="221" w:lineRule="exact"/>
              <w:ind w:left="119"/>
              <w:rPr>
                <w:rFonts w:ascii="Arial" w:hAnsi="Arial"/>
                <w:sz w:val="20"/>
              </w:rPr>
            </w:pPr>
            <w:r>
              <w:rPr>
                <w:rFonts w:ascii="Arial" w:hAnsi="Arial"/>
                <w:b/>
                <w:sz w:val="20"/>
              </w:rPr>
              <w:t>Strategy 2.3: </w:t>
            </w:r>
            <w:r>
              <w:rPr>
                <w:rFonts w:ascii="Arial" w:hAnsi="Arial"/>
                <w:sz w:val="20"/>
              </w:rPr>
              <w:t>As part of the City’s local application process for HUD funds, provide a fair housing training component that all subrecipients are</w:t>
            </w:r>
          </w:p>
          <w:p>
            <w:pPr>
              <w:pStyle w:val="TableParagraph"/>
              <w:spacing w:line="207" w:lineRule="exact"/>
              <w:ind w:left="119"/>
              <w:rPr>
                <w:rFonts w:ascii="Arial"/>
                <w:sz w:val="20"/>
              </w:rPr>
            </w:pPr>
            <w:r>
              <w:rPr>
                <w:rFonts w:ascii="Arial"/>
                <w:sz w:val="20"/>
              </w:rPr>
              <w:t>required to attend before signing their grant agreement.</w:t>
            </w:r>
          </w:p>
        </w:tc>
      </w:tr>
      <w:tr>
        <w:trPr>
          <w:trHeight w:val="454" w:hRule="atLeast"/>
        </w:trPr>
        <w:tc>
          <w:tcPr>
            <w:tcW w:w="12955" w:type="dxa"/>
            <w:tcBorders>
              <w:left w:val="nil"/>
            </w:tcBorders>
          </w:tcPr>
          <w:p>
            <w:pPr>
              <w:pStyle w:val="TableParagraph"/>
              <w:spacing w:line="230" w:lineRule="exact" w:before="1"/>
              <w:ind w:left="119" w:right="290"/>
              <w:rPr>
                <w:rFonts w:ascii="Arial"/>
                <w:sz w:val="20"/>
              </w:rPr>
            </w:pPr>
            <w:r>
              <w:rPr>
                <w:rFonts w:ascii="Arial"/>
                <w:b/>
                <w:sz w:val="20"/>
              </w:rPr>
              <w:t>Strategy 2.4: </w:t>
            </w:r>
            <w:r>
              <w:rPr>
                <w:rFonts w:ascii="Arial"/>
                <w:sz w:val="20"/>
              </w:rPr>
              <w:t>Conduct a new four factor analysis to identify additional resources that may be needed for its LEP Chinese-speaking population who may be eligible for programs and services. The city will then take steps to provide those resources.</w:t>
            </w:r>
          </w:p>
        </w:tc>
      </w:tr>
    </w:tbl>
    <w:p>
      <w:pPr>
        <w:spacing w:after="0" w:line="230" w:lineRule="exact"/>
        <w:rPr>
          <w:rFonts w:ascii="Arial"/>
          <w:sz w:val="20"/>
        </w:rPr>
        <w:sectPr>
          <w:headerReference w:type="default" r:id="rId133"/>
          <w:footerReference w:type="default" r:id="rId134"/>
          <w:pgSz w:w="15840" w:h="12240" w:orient="landscape"/>
          <w:pgMar w:header="1711" w:footer="1072" w:top="2020" w:bottom="1260" w:left="1220" w:right="560"/>
        </w:sectPr>
      </w:pPr>
    </w:p>
    <w:p>
      <w:pPr>
        <w:pStyle w:val="BodyText"/>
        <w:spacing w:before="2"/>
        <w:rPr>
          <w:b/>
        </w:rPr>
      </w:pPr>
    </w:p>
    <w:p>
      <w:pPr>
        <w:pStyle w:val="Heading1"/>
        <w:spacing w:before="35"/>
      </w:pPr>
      <w:bookmarkStart w:name="_TOC_250013" w:id="9"/>
      <w:bookmarkEnd w:id="9"/>
      <w:r>
        <w:rPr>
          <w:color w:val="0E4661"/>
        </w:rPr>
        <w:t>SP-60 Homelessness Strategy – 91.215(d)</w:t>
      </w:r>
    </w:p>
    <w:p>
      <w:pPr>
        <w:spacing w:before="137"/>
        <w:ind w:left="220" w:right="0" w:firstLine="0"/>
        <w:jc w:val="left"/>
        <w:rPr>
          <w:b/>
          <w:sz w:val="24"/>
        </w:rPr>
      </w:pPr>
      <w:r>
        <w:rPr>
          <w:b/>
          <w:sz w:val="24"/>
        </w:rPr>
        <w:t>Reaching out to homeless persons (especially unsheltered persons) and assessing their individual needs</w:t>
      </w:r>
    </w:p>
    <w:p>
      <w:pPr>
        <w:pStyle w:val="BodyText"/>
        <w:spacing w:before="8"/>
        <w:rPr>
          <w:b/>
          <w:sz w:val="19"/>
        </w:rPr>
      </w:pPr>
    </w:p>
    <w:p>
      <w:pPr>
        <w:pStyle w:val="BodyText"/>
        <w:spacing w:line="276" w:lineRule="auto"/>
        <w:ind w:left="220" w:right="918"/>
        <w:rPr>
          <w:rFonts w:ascii="Arial"/>
        </w:rPr>
      </w:pPr>
      <w:r>
        <w:rPr>
          <w:rFonts w:ascii="Arial"/>
        </w:rPr>
        <w:t>The City of Bloomington participates in the Indiana Balance of State Continuum of Care (BOS CoC). The BOS CoC is divided into 16 regions, with Bloomington being a part of Region 10. Each region has a planning council and chairperson and meets regularly with other councils to develop and implement strategies to alleviate homelessness.</w:t>
      </w:r>
    </w:p>
    <w:p>
      <w:pPr>
        <w:pStyle w:val="BodyText"/>
        <w:spacing w:line="276" w:lineRule="auto" w:before="200"/>
        <w:ind w:left="220" w:right="955"/>
        <w:rPr>
          <w:rFonts w:ascii="Arial"/>
        </w:rPr>
      </w:pPr>
      <w:r>
        <w:rPr>
          <w:rFonts w:ascii="Arial"/>
        </w:rPr>
        <w:t>Shalom Community Center has a Street Outreach Program with caseworkers walking the streets of Bloomington to engage and provide support for people experiencing street homelessness. Services include shelter, counseling, and employment programs. New Hope Family Shelter provides similar services, specifically targeting families, and provides additional resources for children experiencing homelessness at The Nest, including academic, social, and emotional support. Bloomington Housing Authority also conducts community-based outreach clinics to provide service and HCVs for homeless veterans in partnership with the Department of Veterans Affairs.</w:t>
      </w:r>
    </w:p>
    <w:p>
      <w:pPr>
        <w:pStyle w:val="BodyText"/>
        <w:spacing w:line="276" w:lineRule="auto" w:before="200"/>
        <w:ind w:left="220" w:right="955"/>
        <w:rPr>
          <w:rFonts w:ascii="Arial"/>
        </w:rPr>
      </w:pPr>
      <w:r>
        <w:rPr>
          <w:rFonts w:ascii="Arial"/>
        </w:rPr>
        <w:t>It is important to note that these outreach efforts are made possible through a large network of community partners that do not solely provide services addressing homelessness. Still, stakeholders and the Heading Home South Central Indiana Housing Action Plan call for increasing the number of street outreach workers in order to meet the needs of a growing unsheltered population.</w:t>
      </w:r>
    </w:p>
    <w:p>
      <w:pPr>
        <w:pStyle w:val="Heading4"/>
        <w:spacing w:before="204"/>
      </w:pPr>
      <w:r>
        <w:rPr/>
        <w:t>Addressing the emergency and transitional housing needs of homeless persons</w:t>
      </w:r>
    </w:p>
    <w:p>
      <w:pPr>
        <w:pStyle w:val="BodyText"/>
        <w:spacing w:before="12"/>
        <w:rPr>
          <w:b/>
          <w:sz w:val="19"/>
        </w:rPr>
      </w:pPr>
    </w:p>
    <w:p>
      <w:pPr>
        <w:pStyle w:val="BodyText"/>
        <w:spacing w:line="276" w:lineRule="auto"/>
        <w:ind w:left="220" w:right="1179"/>
      </w:pPr>
      <w:r>
        <w:rPr/>
        <w:t>The CoC captures Point in Time data, Systems Performance Measures and Coordinated Entry data to evaluate and understand the emergency needs of persons in the City experiencing homelessness. The City does not receive Emergency Solutions Grant funding to directly support emergency shelter and transitional housing needs; however, the information generated by the HMIS will be used to inform Strategic Plan priorities as well as CDBG and HOME budget and planning processes.</w:t>
      </w:r>
    </w:p>
    <w:p>
      <w:pPr>
        <w:pStyle w:val="BodyText"/>
        <w:spacing w:line="276" w:lineRule="auto" w:before="196"/>
        <w:ind w:left="220" w:right="964"/>
        <w:rPr>
          <w:rFonts w:ascii="Arial"/>
        </w:rPr>
      </w:pPr>
      <w:r>
        <w:rPr>
          <w:rFonts w:ascii="Arial"/>
        </w:rPr>
        <w:t>The Heading Home South Central Indiana Housing Action Plan indicates that there is a cohort of the unsheltered population that choose not to enter shelter, for reasons unknown. The Action Plan proposes further examining the barriers to individuals accessing shelter in order to determine if additional shelter beds are needed.</w:t>
      </w:r>
    </w:p>
    <w:p>
      <w:pPr>
        <w:pStyle w:val="Heading4"/>
        <w:spacing w:line="276" w:lineRule="auto" w:before="204"/>
        <w:ind w:right="1021"/>
      </w:pPr>
      <w:r>
        <w:rPr/>
        <w:t>Helping homeless persons (especially chronically homeless individuals and families, families with children, veterans and their families, and unaccompanied youth) make the transition to permanent housing and independent living, including shortening the</w:t>
      </w:r>
    </w:p>
    <w:p>
      <w:pPr>
        <w:spacing w:after="0" w:line="276" w:lineRule="auto"/>
        <w:sectPr>
          <w:headerReference w:type="default" r:id="rId135"/>
          <w:footerReference w:type="default" r:id="rId136"/>
          <w:pgSz w:w="15840" w:h="12240" w:orient="landscape"/>
          <w:pgMar w:header="0" w:footer="1072" w:top="1140" w:bottom="1260" w:left="1220" w:right="560"/>
          <w:pgNumType w:start="111"/>
        </w:sectPr>
      </w:pPr>
    </w:p>
    <w:p>
      <w:pPr>
        <w:pStyle w:val="BodyText"/>
        <w:spacing w:before="8"/>
        <w:rPr>
          <w:b/>
          <w:sz w:val="20"/>
        </w:rPr>
      </w:pPr>
    </w:p>
    <w:p>
      <w:pPr>
        <w:spacing w:line="276" w:lineRule="auto" w:before="52"/>
        <w:ind w:left="220" w:right="1066" w:firstLine="0"/>
        <w:jc w:val="left"/>
        <w:rPr>
          <w:b/>
          <w:sz w:val="24"/>
        </w:rPr>
      </w:pPr>
      <w:r>
        <w:rPr>
          <w:b/>
          <w:sz w:val="24"/>
        </w:rPr>
        <w:t>period of time that individuals and families experience homelessness, facilitating access for homeless individuals and families to affordable housing units, and preventing individuals and families who were recently homeless from becoming homeless again.</w:t>
      </w:r>
    </w:p>
    <w:p>
      <w:pPr>
        <w:pStyle w:val="BodyText"/>
        <w:spacing w:line="276" w:lineRule="auto" w:before="200"/>
        <w:ind w:left="220" w:right="1062"/>
      </w:pPr>
      <w:r>
        <w:rPr/>
        <w:t>The Indiana BOS CoC takes a Housing First approach, offering housing to individuals and families experiencing homelessness without preconditions and barriers to entry. Prioritizing rapidly rehousing unsheltered homeless individuals and families intends to make homelessness brief. Creating low-barrier shelter and housing options, including flexible resources to be used to assist in rapidly placing households into housing, is a component of the Housing Action Plan developed by Heading Home of South Central Indiana.</w:t>
      </w:r>
    </w:p>
    <w:p>
      <w:pPr>
        <w:pStyle w:val="BodyText"/>
        <w:spacing w:before="4"/>
        <w:rPr>
          <w:sz w:val="16"/>
        </w:rPr>
      </w:pPr>
    </w:p>
    <w:p>
      <w:pPr>
        <w:pStyle w:val="BodyText"/>
        <w:spacing w:line="276" w:lineRule="auto"/>
        <w:ind w:left="220" w:right="906"/>
        <w:jc w:val="both"/>
      </w:pPr>
      <w:r>
        <w:rPr/>
        <w:t>Once housed, particularly in permanent housing, case management and other supportive services are crucial to the success of preventing at-risk residents from returning to homeless. Supportive services include financial assistance to obtain housing, individual case management, childcare, employment, healthcare, and education. The Housing Action Plan proposes adding case managers to support this work.</w:t>
      </w:r>
    </w:p>
    <w:p>
      <w:pPr>
        <w:pStyle w:val="BodyText"/>
        <w:spacing w:before="5"/>
        <w:rPr>
          <w:sz w:val="16"/>
        </w:rPr>
      </w:pPr>
    </w:p>
    <w:p>
      <w:pPr>
        <w:pStyle w:val="Heading4"/>
        <w:spacing w:line="276" w:lineRule="auto"/>
        <w:ind w:right="1315"/>
      </w:pPr>
      <w:r>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pPr>
        <w:pStyle w:val="BodyText"/>
        <w:spacing w:line="276" w:lineRule="auto" w:before="200"/>
        <w:ind w:left="220" w:right="964"/>
      </w:pPr>
      <w:r>
        <w:rPr/>
        <w:t>Successful implementation of any strategy addressing homelessness includes stemming inflow of people experiencing homelessness. Diversion programs are a successful way to prevent episodes of homelessness, particularly for households that are generally stable but experience an unexpected crisis (job loss, health emergency, etc) that places housing in jeopardy. The Housing Action Plan proposes creating flexible funding sources to support people in this endeavor. Such a pot of funding currently does not exist, but helping to provide resources to keep households stable in the face of crisis can be effective in diverting homelessness.</w:t>
      </w:r>
    </w:p>
    <w:p>
      <w:pPr>
        <w:spacing w:after="0" w:line="276" w:lineRule="auto"/>
        <w:sectPr>
          <w:headerReference w:type="default" r:id="rId137"/>
          <w:footerReference w:type="default" r:id="rId138"/>
          <w:pgSz w:w="15840" w:h="12240" w:orient="landscape"/>
          <w:pgMar w:header="0" w:footer="1072" w:top="1140" w:bottom="1260" w:left="1220" w:right="560"/>
          <w:pgNumType w:start="112"/>
        </w:sectPr>
      </w:pPr>
    </w:p>
    <w:p>
      <w:pPr>
        <w:pStyle w:val="BodyText"/>
        <w:rPr>
          <w:sz w:val="20"/>
        </w:rPr>
      </w:pPr>
    </w:p>
    <w:p>
      <w:pPr>
        <w:pStyle w:val="BodyText"/>
        <w:spacing w:before="3"/>
        <w:rPr>
          <w:sz w:val="15"/>
        </w:rPr>
      </w:pPr>
    </w:p>
    <w:p>
      <w:pPr>
        <w:pStyle w:val="Heading1"/>
        <w:spacing w:before="35"/>
      </w:pPr>
      <w:bookmarkStart w:name="_TOC_250012" w:id="10"/>
      <w:bookmarkEnd w:id="10"/>
      <w:r>
        <w:rPr>
          <w:color w:val="0E4661"/>
        </w:rPr>
        <w:t>SP-65 Lead based paint Hazards – 91.215(i)</w:t>
      </w:r>
    </w:p>
    <w:p>
      <w:pPr>
        <w:pStyle w:val="Heading4"/>
        <w:spacing w:before="138"/>
      </w:pPr>
      <w:r>
        <w:rPr/>
        <w:t>Actions to address LBP hazards and increase access to housing without LBP hazards</w:t>
      </w:r>
    </w:p>
    <w:p>
      <w:pPr>
        <w:pStyle w:val="BodyText"/>
        <w:spacing w:before="11"/>
        <w:rPr>
          <w:b/>
          <w:sz w:val="19"/>
        </w:rPr>
      </w:pPr>
    </w:p>
    <w:p>
      <w:pPr>
        <w:pStyle w:val="BodyText"/>
        <w:spacing w:line="276" w:lineRule="auto"/>
        <w:ind w:left="220" w:right="1099"/>
      </w:pPr>
      <w:r>
        <w:rPr/>
        <w:t>Lead-based paint was banned from residential uses in 1978. All houses constructed before 1978 are therefore considered at risk for containing lead-based paint. HUD has made the elimination of housing units containing lead-based paint a priority.</w:t>
      </w:r>
    </w:p>
    <w:p>
      <w:pPr>
        <w:pStyle w:val="BodyText"/>
        <w:spacing w:before="5"/>
        <w:rPr>
          <w:sz w:val="16"/>
        </w:rPr>
      </w:pPr>
    </w:p>
    <w:p>
      <w:pPr>
        <w:pStyle w:val="BodyText"/>
        <w:spacing w:line="276" w:lineRule="auto"/>
        <w:ind w:left="220" w:right="964"/>
      </w:pPr>
      <w:r>
        <w:rPr/>
        <w:t>The City of Bloomington will continue to support the efforts of the Indiana State Department of Health (ISDH) and Monroe County Health Department to address lead-based paint exposure through activities such as lead abatement programs and education. Abatement activities include, but are not limited to, the replacement of building components, the complete removal of lead paint, encapsulation of lead-based paint hazards, enclosure of lead-based paint hazards, and other permanent measures to eliminate lead-based paint hazards. All housing assisted with CDBG and/or HOME dollars will be evaluated for the presence of lead-based paint hazards. Interim controls or abatement will be performed on all lead hazards identified during the assessment.</w:t>
      </w:r>
    </w:p>
    <w:p>
      <w:pPr>
        <w:pStyle w:val="BodyText"/>
        <w:spacing w:before="5"/>
        <w:rPr>
          <w:sz w:val="16"/>
        </w:rPr>
      </w:pPr>
    </w:p>
    <w:p>
      <w:pPr>
        <w:pStyle w:val="Heading4"/>
      </w:pPr>
      <w:r>
        <w:rPr/>
        <w:t>How are the actions listed above related to the extent of lead poisoning and hazards?</w:t>
      </w:r>
    </w:p>
    <w:p>
      <w:pPr>
        <w:pStyle w:val="BodyText"/>
        <w:spacing w:before="11"/>
        <w:rPr>
          <w:b/>
          <w:sz w:val="19"/>
        </w:rPr>
      </w:pPr>
    </w:p>
    <w:p>
      <w:pPr>
        <w:pStyle w:val="BodyText"/>
        <w:spacing w:line="276" w:lineRule="auto" w:before="1"/>
        <w:ind w:left="220" w:right="1074"/>
      </w:pPr>
      <w:r>
        <w:rPr/>
        <w:t>Lead-based paint hazards pose the greatest risk for children, especially those under seven years of age. The HUD IDIS-generated table included in the Market Analysis section of this document (MA-20) provides data on owner-occupied and renter- occupied units built before 1980 with children present. The data indicates that 1,299 households with at least one child age 6 or younger live in housing units built before 1980, making these households more susceptible to lead-based paint exposure.</w:t>
      </w:r>
    </w:p>
    <w:p>
      <w:pPr>
        <w:pStyle w:val="BodyText"/>
        <w:spacing w:before="4"/>
        <w:rPr>
          <w:sz w:val="16"/>
        </w:rPr>
      </w:pPr>
    </w:p>
    <w:p>
      <w:pPr>
        <w:pStyle w:val="Heading4"/>
        <w:spacing w:before="1"/>
      </w:pPr>
      <w:r>
        <w:rPr/>
        <w:t>How are the actions listed above integrated into housing policies and procedures?</w:t>
      </w:r>
    </w:p>
    <w:p>
      <w:pPr>
        <w:pStyle w:val="BodyText"/>
        <w:spacing w:before="11"/>
        <w:rPr>
          <w:b/>
          <w:sz w:val="19"/>
        </w:rPr>
      </w:pPr>
    </w:p>
    <w:p>
      <w:pPr>
        <w:pStyle w:val="BodyText"/>
        <w:spacing w:line="276" w:lineRule="auto"/>
        <w:ind w:left="220" w:right="1189"/>
      </w:pPr>
      <w:r>
        <w:rPr/>
        <w:t>Lead prevention and abatement activities are regulated at the state level by the Indiana State Department of Health (ISDH), and enforcement and compliance conducted by the Monroe County Health Department.</w:t>
      </w:r>
    </w:p>
    <w:p>
      <w:pPr>
        <w:pStyle w:val="BodyText"/>
        <w:spacing w:before="5"/>
        <w:rPr>
          <w:sz w:val="16"/>
        </w:rPr>
      </w:pPr>
    </w:p>
    <w:p>
      <w:pPr>
        <w:pStyle w:val="BodyText"/>
        <w:spacing w:line="276" w:lineRule="auto"/>
        <w:ind w:left="220" w:right="1047"/>
      </w:pPr>
      <w:r>
        <w:rPr/>
        <w:t>Any housing rehabilitation project funded with CDBG or HOME dollars is contractually required to follow Lead Based Paint regulatory requirements. In accordance with lead-based paint requirements, the City will incorporate the following factors to refine and narrow the communities that are at highest risk with lead-based paint hazards as related to housing rehabilitation activities throughout the duration of the 2025-2029 Consolidated Plan:</w:t>
      </w:r>
    </w:p>
    <w:p>
      <w:pPr>
        <w:pStyle w:val="ListParagraph"/>
        <w:numPr>
          <w:ilvl w:val="2"/>
          <w:numId w:val="10"/>
        </w:numPr>
        <w:tabs>
          <w:tab w:pos="939" w:val="left" w:leader="none"/>
          <w:tab w:pos="940" w:val="left" w:leader="none"/>
        </w:tabs>
        <w:spacing w:line="240" w:lineRule="auto" w:before="167" w:after="0"/>
        <w:ind w:left="940" w:right="0" w:hanging="360"/>
        <w:jc w:val="left"/>
        <w:rPr>
          <w:rFonts w:ascii="Arial Unicode MS" w:hAnsi="Arial Unicode MS"/>
          <w:sz w:val="22"/>
        </w:rPr>
      </w:pPr>
      <w:r>
        <w:rPr>
          <w:sz w:val="22"/>
        </w:rPr>
        <w:t>Age of housing (pre-1978 housing units)</w:t>
      </w:r>
    </w:p>
    <w:p>
      <w:pPr>
        <w:spacing w:after="0" w:line="240" w:lineRule="auto"/>
        <w:jc w:val="left"/>
        <w:rPr>
          <w:rFonts w:ascii="Arial Unicode MS" w:hAnsi="Arial Unicode MS"/>
          <w:sz w:val="22"/>
        </w:rPr>
        <w:sectPr>
          <w:headerReference w:type="default" r:id="rId139"/>
          <w:footerReference w:type="default" r:id="rId140"/>
          <w:pgSz w:w="15840" w:h="12240" w:orient="landscape"/>
          <w:pgMar w:header="0" w:footer="1072" w:top="1140" w:bottom="1260" w:left="1220" w:right="560"/>
          <w:pgNumType w:start="113"/>
        </w:sectPr>
      </w:pPr>
    </w:p>
    <w:p>
      <w:pPr>
        <w:pStyle w:val="BodyText"/>
        <w:spacing w:before="4"/>
        <w:rPr>
          <w:sz w:val="16"/>
        </w:rPr>
      </w:pPr>
    </w:p>
    <w:p>
      <w:pPr>
        <w:pStyle w:val="ListParagraph"/>
        <w:numPr>
          <w:ilvl w:val="2"/>
          <w:numId w:val="10"/>
        </w:numPr>
        <w:tabs>
          <w:tab w:pos="939" w:val="left" w:leader="none"/>
          <w:tab w:pos="940" w:val="left" w:leader="none"/>
        </w:tabs>
        <w:spacing w:line="364" w:lineRule="exact" w:before="71" w:after="0"/>
        <w:ind w:left="940" w:right="0" w:hanging="360"/>
        <w:jc w:val="left"/>
        <w:rPr>
          <w:rFonts w:ascii="Arial Unicode MS" w:hAnsi="Arial Unicode MS"/>
          <w:sz w:val="22"/>
        </w:rPr>
      </w:pPr>
      <w:r>
        <w:rPr>
          <w:sz w:val="22"/>
        </w:rPr>
        <w:t>Condition of housing</w:t>
      </w:r>
    </w:p>
    <w:p>
      <w:pPr>
        <w:pStyle w:val="ListParagraph"/>
        <w:numPr>
          <w:ilvl w:val="2"/>
          <w:numId w:val="10"/>
        </w:numPr>
        <w:tabs>
          <w:tab w:pos="939" w:val="left" w:leader="none"/>
          <w:tab w:pos="940" w:val="left" w:leader="none"/>
        </w:tabs>
        <w:spacing w:line="345" w:lineRule="exact" w:before="0" w:after="0"/>
        <w:ind w:left="940" w:right="0" w:hanging="360"/>
        <w:jc w:val="left"/>
        <w:rPr>
          <w:rFonts w:ascii="Arial Unicode MS" w:hAnsi="Arial Unicode MS"/>
          <w:sz w:val="22"/>
        </w:rPr>
      </w:pPr>
      <w:r>
        <w:rPr>
          <w:sz w:val="22"/>
        </w:rPr>
        <w:t>Tenure and poverty levels</w:t>
      </w:r>
    </w:p>
    <w:p>
      <w:pPr>
        <w:pStyle w:val="ListParagraph"/>
        <w:numPr>
          <w:ilvl w:val="2"/>
          <w:numId w:val="10"/>
        </w:numPr>
        <w:tabs>
          <w:tab w:pos="939" w:val="left" w:leader="none"/>
          <w:tab w:pos="940" w:val="left" w:leader="none"/>
        </w:tabs>
        <w:spacing w:line="345" w:lineRule="exact" w:before="0" w:after="0"/>
        <w:ind w:left="940" w:right="0" w:hanging="360"/>
        <w:jc w:val="left"/>
        <w:rPr>
          <w:rFonts w:ascii="Arial Unicode MS" w:hAnsi="Arial Unicode MS"/>
          <w:sz w:val="22"/>
        </w:rPr>
      </w:pPr>
      <w:r>
        <w:rPr>
          <w:sz w:val="22"/>
        </w:rPr>
        <w:t>Presence of young children</w:t>
      </w:r>
    </w:p>
    <w:p>
      <w:pPr>
        <w:pStyle w:val="ListParagraph"/>
        <w:numPr>
          <w:ilvl w:val="2"/>
          <w:numId w:val="10"/>
        </w:numPr>
        <w:tabs>
          <w:tab w:pos="939" w:val="left" w:leader="none"/>
          <w:tab w:pos="940" w:val="left" w:leader="none"/>
        </w:tabs>
        <w:spacing w:line="399" w:lineRule="exact" w:before="0" w:after="0"/>
        <w:ind w:left="940" w:right="0" w:hanging="360"/>
        <w:jc w:val="left"/>
        <w:rPr>
          <w:rFonts w:ascii="Arial Unicode MS" w:hAnsi="Arial Unicode MS"/>
          <w:sz w:val="24"/>
        </w:rPr>
      </w:pPr>
      <w:r>
        <w:rPr>
          <w:rFonts w:ascii="Arial" w:hAnsi="Arial"/>
          <w:sz w:val="22"/>
        </w:rPr>
        <w:t>Presence of lead poisoning cases</w:t>
      </w:r>
    </w:p>
    <w:p>
      <w:pPr>
        <w:spacing w:after="0" w:line="399" w:lineRule="exact"/>
        <w:jc w:val="left"/>
        <w:rPr>
          <w:rFonts w:ascii="Arial Unicode MS" w:hAnsi="Arial Unicode MS"/>
          <w:sz w:val="24"/>
        </w:rPr>
        <w:sectPr>
          <w:headerReference w:type="default" r:id="rId141"/>
          <w:footerReference w:type="default" r:id="rId142"/>
          <w:pgSz w:w="15840" w:h="12240" w:orient="landscape"/>
          <w:pgMar w:header="0" w:footer="1072" w:top="1140" w:bottom="1260" w:left="1220" w:right="560"/>
          <w:pgNumType w:start="114"/>
        </w:sectPr>
      </w:pPr>
    </w:p>
    <w:p>
      <w:pPr>
        <w:pStyle w:val="BodyText"/>
        <w:rPr>
          <w:rFonts w:ascii="Arial"/>
          <w:sz w:val="20"/>
        </w:rPr>
      </w:pPr>
    </w:p>
    <w:p>
      <w:pPr>
        <w:pStyle w:val="BodyText"/>
        <w:spacing w:before="5"/>
        <w:rPr>
          <w:rFonts w:ascii="Arial"/>
          <w:sz w:val="17"/>
        </w:rPr>
      </w:pPr>
    </w:p>
    <w:p>
      <w:pPr>
        <w:pStyle w:val="Heading1"/>
        <w:spacing w:before="35"/>
      </w:pPr>
      <w:bookmarkStart w:name="_TOC_250011" w:id="11"/>
      <w:bookmarkEnd w:id="11"/>
      <w:r>
        <w:rPr>
          <w:color w:val="0E4661"/>
        </w:rPr>
        <w:t>SP-70 Anti-Poverty Strategy – 91.215(j)</w:t>
      </w:r>
    </w:p>
    <w:p>
      <w:pPr>
        <w:pStyle w:val="Heading4"/>
        <w:spacing w:before="137"/>
      </w:pPr>
      <w:r>
        <w:rPr/>
        <w:t>Jurisdiction Goals, Programs and Policies for reducing the number of Poverty-Level Families</w:t>
      </w:r>
    </w:p>
    <w:p>
      <w:pPr>
        <w:pStyle w:val="BodyText"/>
        <w:spacing w:before="8"/>
        <w:rPr>
          <w:b/>
          <w:sz w:val="19"/>
        </w:rPr>
      </w:pPr>
    </w:p>
    <w:p>
      <w:pPr>
        <w:pStyle w:val="BodyText"/>
        <w:spacing w:line="276" w:lineRule="auto"/>
        <w:ind w:left="220" w:right="1041"/>
        <w:rPr>
          <w:rFonts w:ascii="Arial" w:hAnsi="Arial"/>
        </w:rPr>
      </w:pPr>
      <w:r>
        <w:rPr>
          <w:rFonts w:ascii="Arial" w:hAnsi="Arial"/>
        </w:rPr>
        <w:t>The City of Bloomington’s Anti-Poverty Strategy is modeled after the United Way of South Central Indiana’s goals and strategies for improving people’s lives and mobilizing the community. The three goals include education, earnings, and essentials.</w:t>
      </w:r>
    </w:p>
    <w:p>
      <w:pPr>
        <w:pStyle w:val="BodyText"/>
        <w:spacing w:line="276" w:lineRule="auto" w:before="200"/>
        <w:ind w:left="220" w:right="990"/>
        <w:rPr>
          <w:rFonts w:ascii="Arial"/>
        </w:rPr>
      </w:pPr>
      <w:r>
        <w:rPr>
          <w:rFonts w:ascii="Arial"/>
        </w:rPr>
        <w:t>Education serves to help children, youth, and adults through early childhood education and preparation, youth development, and job and life skills buildings. Strategies include providing affordable childcare, after-school programs, and healthy habits and mentoring; promoting the development of children under the age of five; and support youth efforts to graduate high school with a viable plan for the future.</w:t>
      </w:r>
    </w:p>
    <w:p>
      <w:pPr>
        <w:pStyle w:val="BodyText"/>
        <w:spacing w:line="276" w:lineRule="auto" w:before="200"/>
        <w:ind w:left="220" w:right="923"/>
        <w:rPr>
          <w:rFonts w:ascii="Arial"/>
        </w:rPr>
      </w:pPr>
      <w:r>
        <w:rPr>
          <w:rFonts w:ascii="Arial"/>
        </w:rPr>
        <w:t>Earnings is summarized by helping hard working families get ahead through maintaining employment, increasing and retaining income, and building savings and assets. Strategies include increasing financial literacy and stability, tax preparation assistance, and job-related supports.</w:t>
      </w:r>
    </w:p>
    <w:p>
      <w:pPr>
        <w:pStyle w:val="BodyText"/>
        <w:spacing w:line="276" w:lineRule="auto" w:before="200"/>
        <w:ind w:left="220" w:right="1298"/>
        <w:rPr>
          <w:rFonts w:ascii="Arial"/>
        </w:rPr>
      </w:pPr>
      <w:r>
        <w:rPr>
          <w:rFonts w:ascii="Arial"/>
        </w:rPr>
        <w:t>Finally, essentials help individuals and families meet basic needs with access to food, shelter, healthcare, and emergency crises. Strategies include investing in programs providing these essentials, supporting programs that increase health and wellness, and ensuring the community is ready to help people recover from natural disasters.</w:t>
      </w:r>
    </w:p>
    <w:p>
      <w:pPr>
        <w:pStyle w:val="BodyText"/>
        <w:spacing w:line="278" w:lineRule="auto" w:before="200"/>
        <w:ind w:left="220" w:right="901"/>
      </w:pPr>
      <w:r>
        <w:rPr>
          <w:rFonts w:ascii="Arial" w:hAnsi="Arial"/>
        </w:rPr>
        <w:t>The United Way’s 2023 Report to the Community reported that 79% of those in the South Central Indiana region who were engaged in United Way employment skills programs saw an increase in wages. The City will continue to </w:t>
      </w:r>
      <w:r>
        <w:rPr>
          <w:position w:val="1"/>
        </w:rPr>
        <w:t>support programs that provide resources </w:t>
      </w:r>
      <w:r>
        <w:rPr/>
        <w:t>include housing and energy services, transit assistance, workforce connections, adult education, community leadership, neighborhood centers and services for the elderly.</w:t>
      </w:r>
    </w:p>
    <w:p>
      <w:pPr>
        <w:pStyle w:val="BodyText"/>
        <w:spacing w:line="259" w:lineRule="auto" w:before="193"/>
        <w:ind w:left="220" w:right="1033"/>
      </w:pPr>
      <w:r>
        <w:rPr/>
        <w:t>The Summit Hill Community Development Corporation is in the process of completing the Rev Dr Marvin Chandler Early Learning Center, which will provide an early childcare center with 28 childcare seats (ages 0-3) on first floor and 3 affordable two-bedroom apartments on the second floor. Affordable childcare was identified as a barrier to employment, and this development will begin to address that need.</w:t>
      </w:r>
    </w:p>
    <w:p>
      <w:pPr>
        <w:pStyle w:val="Heading4"/>
        <w:spacing w:before="160"/>
      </w:pPr>
      <w:r>
        <w:rPr/>
        <w:t>How are the Jurisdiction poverty reducing goals, programs, and policies coordinated with this affordable housing plan</w:t>
      </w:r>
    </w:p>
    <w:p>
      <w:pPr>
        <w:pStyle w:val="BodyText"/>
        <w:spacing w:before="11"/>
        <w:rPr>
          <w:b/>
          <w:sz w:val="19"/>
        </w:rPr>
      </w:pPr>
    </w:p>
    <w:p>
      <w:pPr>
        <w:pStyle w:val="BodyText"/>
        <w:spacing w:line="276" w:lineRule="auto" w:before="1"/>
        <w:ind w:left="220" w:right="878"/>
      </w:pPr>
      <w:r>
        <w:rPr/>
        <w:t>The City prioritizes funding for services related to poverty reduction and self-sufficiency, including job training opportunities, housing counseling, and homeownership assistance/foreclosure prevention. To the extent feasible, HOME dollars will be allocated to projects that couple affordable</w:t>
      </w:r>
    </w:p>
    <w:p>
      <w:pPr>
        <w:spacing w:after="0" w:line="276" w:lineRule="auto"/>
        <w:sectPr>
          <w:headerReference w:type="default" r:id="rId143"/>
          <w:footerReference w:type="default" r:id="rId144"/>
          <w:pgSz w:w="15840" w:h="12240" w:orient="landscape"/>
          <w:pgMar w:header="0" w:footer="1072" w:top="1140" w:bottom="1260" w:left="1220" w:right="560"/>
          <w:pgNumType w:start="115"/>
        </w:sectPr>
      </w:pPr>
    </w:p>
    <w:p>
      <w:pPr>
        <w:pStyle w:val="BodyText"/>
        <w:spacing w:before="4"/>
        <w:rPr>
          <w:sz w:val="20"/>
        </w:rPr>
      </w:pPr>
    </w:p>
    <w:p>
      <w:pPr>
        <w:pStyle w:val="BodyText"/>
        <w:spacing w:line="276" w:lineRule="auto" w:before="56"/>
        <w:ind w:left="220" w:right="1102"/>
      </w:pPr>
      <w:r>
        <w:rPr/>
        <w:t>housing development with homebuyer education, case management and supportive services, and linkages to self-sufficiency and employment programming.</w:t>
      </w:r>
    </w:p>
    <w:p>
      <w:pPr>
        <w:pStyle w:val="BodyText"/>
      </w:pPr>
    </w:p>
    <w:p>
      <w:pPr>
        <w:pStyle w:val="BodyText"/>
      </w:pPr>
    </w:p>
    <w:p>
      <w:pPr>
        <w:pStyle w:val="BodyText"/>
        <w:spacing w:before="6"/>
        <w:rPr>
          <w:sz w:val="16"/>
        </w:rPr>
      </w:pPr>
    </w:p>
    <w:p>
      <w:pPr>
        <w:pStyle w:val="Heading1"/>
      </w:pPr>
      <w:bookmarkStart w:name="_TOC_250010" w:id="12"/>
      <w:bookmarkEnd w:id="12"/>
      <w:r>
        <w:rPr>
          <w:color w:val="0E4661"/>
        </w:rPr>
        <w:t>SP-80 Monitoring – 91.230</w:t>
      </w:r>
    </w:p>
    <w:p>
      <w:pPr>
        <w:pStyle w:val="Heading4"/>
        <w:spacing w:line="276" w:lineRule="auto" w:before="137"/>
        <w:ind w:right="1140"/>
      </w:pPr>
      <w:r>
        <w:rPr/>
        <w:t>Describe the standards and procedures that the jurisdiction will use to monitor activities carried out in furtherance of the plan and will use to ensure long-term compliance with requirements of the programs involved, including minority business outreach and the comprehensive planning requirements</w:t>
      </w:r>
    </w:p>
    <w:p>
      <w:pPr>
        <w:pStyle w:val="BodyText"/>
        <w:spacing w:line="276" w:lineRule="auto" w:before="196"/>
        <w:ind w:left="220" w:right="1309"/>
        <w:rPr>
          <w:rFonts w:ascii="Arial"/>
        </w:rPr>
      </w:pPr>
      <w:r>
        <w:rPr>
          <w:rFonts w:ascii="Arial"/>
        </w:rPr>
        <w:t>The goal of the Housing and Neighborhood Development Department is to ensure that all programs and projects comply with the applicable regulations and standards governing the actions of the department.</w:t>
      </w:r>
    </w:p>
    <w:p>
      <w:pPr>
        <w:pStyle w:val="Heading6"/>
        <w:spacing w:before="200"/>
        <w:ind w:left="220"/>
        <w:rPr>
          <w:rFonts w:ascii="Arial"/>
        </w:rPr>
      </w:pPr>
      <w:r>
        <w:rPr>
          <w:rFonts w:ascii="Arial"/>
        </w:rPr>
        <w:t>Community Development Block Grant</w:t>
      </w:r>
    </w:p>
    <w:p>
      <w:pPr>
        <w:pStyle w:val="BodyText"/>
        <w:spacing w:before="7"/>
        <w:rPr>
          <w:rFonts w:ascii="Arial"/>
          <w:b/>
          <w:sz w:val="20"/>
        </w:rPr>
      </w:pPr>
    </w:p>
    <w:p>
      <w:pPr>
        <w:pStyle w:val="BodyText"/>
        <w:spacing w:before="1"/>
        <w:ind w:left="220"/>
        <w:rPr>
          <w:rFonts w:ascii="Arial"/>
        </w:rPr>
      </w:pPr>
      <w:r>
        <w:rPr>
          <w:rFonts w:ascii="Arial"/>
        </w:rPr>
        <w:t>Physical improvement projects are monitored as follows:</w:t>
      </w:r>
    </w:p>
    <w:p>
      <w:pPr>
        <w:pStyle w:val="BodyText"/>
        <w:spacing w:before="7"/>
        <w:rPr>
          <w:rFonts w:ascii="Arial"/>
          <w:sz w:val="20"/>
        </w:rPr>
      </w:pPr>
    </w:p>
    <w:p>
      <w:pPr>
        <w:pStyle w:val="ListParagraph"/>
        <w:numPr>
          <w:ilvl w:val="0"/>
          <w:numId w:val="16"/>
        </w:numPr>
        <w:tabs>
          <w:tab w:pos="940" w:val="left" w:leader="none"/>
        </w:tabs>
        <w:spacing w:line="276" w:lineRule="auto" w:before="1" w:after="0"/>
        <w:ind w:left="940" w:right="1271" w:hanging="360"/>
        <w:jc w:val="left"/>
        <w:rPr>
          <w:rFonts w:ascii="Arial"/>
          <w:sz w:val="24"/>
        </w:rPr>
      </w:pPr>
      <w:r>
        <w:rPr>
          <w:rFonts w:ascii="Arial"/>
          <w:sz w:val="24"/>
        </w:rPr>
        <w:t>Each project is required to fill out an application to be reviewed by the Citizen Advisory Committee (CAC) for allocation recommendation. Applications include specific information regarding design of project, cost of </w:t>
      </w:r>
      <w:r>
        <w:rPr>
          <w:rFonts w:ascii="Arial"/>
          <w:spacing w:val="-3"/>
          <w:sz w:val="24"/>
        </w:rPr>
        <w:t>project, </w:t>
      </w:r>
      <w:r>
        <w:rPr>
          <w:rFonts w:ascii="Arial"/>
          <w:sz w:val="24"/>
        </w:rPr>
        <w:t>and beneficiaries.</w:t>
      </w:r>
    </w:p>
    <w:p>
      <w:pPr>
        <w:pStyle w:val="ListParagraph"/>
        <w:numPr>
          <w:ilvl w:val="0"/>
          <w:numId w:val="16"/>
        </w:numPr>
        <w:tabs>
          <w:tab w:pos="940" w:val="left" w:leader="none"/>
        </w:tabs>
        <w:spacing w:line="276" w:lineRule="auto" w:before="0" w:after="0"/>
        <w:ind w:left="940" w:right="1204" w:hanging="360"/>
        <w:jc w:val="left"/>
        <w:rPr>
          <w:rFonts w:ascii="Arial"/>
          <w:sz w:val="24"/>
        </w:rPr>
      </w:pPr>
      <w:r>
        <w:rPr>
          <w:rFonts w:ascii="Arial"/>
          <w:sz w:val="24"/>
        </w:rPr>
        <w:t>Successfully funded applications are required to sign a funding agreement outlining all requirements, regulations and standards.</w:t>
      </w:r>
    </w:p>
    <w:p>
      <w:pPr>
        <w:pStyle w:val="ListParagraph"/>
        <w:numPr>
          <w:ilvl w:val="0"/>
          <w:numId w:val="16"/>
        </w:numPr>
        <w:tabs>
          <w:tab w:pos="940" w:val="left" w:leader="none"/>
        </w:tabs>
        <w:spacing w:line="240" w:lineRule="auto" w:before="0" w:after="0"/>
        <w:ind w:left="940" w:right="0" w:hanging="360"/>
        <w:jc w:val="left"/>
        <w:rPr>
          <w:rFonts w:ascii="Arial"/>
          <w:sz w:val="24"/>
        </w:rPr>
      </w:pPr>
      <w:r>
        <w:rPr>
          <w:rFonts w:ascii="Arial"/>
          <w:sz w:val="24"/>
        </w:rPr>
        <w:t>A program manager from HAND will do site inspections periodically throughout the project.</w:t>
      </w:r>
    </w:p>
    <w:p>
      <w:pPr>
        <w:pStyle w:val="ListParagraph"/>
        <w:numPr>
          <w:ilvl w:val="0"/>
          <w:numId w:val="16"/>
        </w:numPr>
        <w:tabs>
          <w:tab w:pos="940" w:val="left" w:leader="none"/>
        </w:tabs>
        <w:spacing w:line="276" w:lineRule="auto" w:before="41" w:after="0"/>
        <w:ind w:left="940" w:right="1192" w:hanging="360"/>
        <w:jc w:val="left"/>
        <w:rPr>
          <w:rFonts w:ascii="Arial"/>
          <w:sz w:val="24"/>
        </w:rPr>
      </w:pPr>
      <w:r>
        <w:rPr>
          <w:rFonts w:ascii="Arial"/>
          <w:sz w:val="24"/>
        </w:rPr>
        <w:t>Claims for payment are filed, with appropriate documentation, with the program manager. The program </w:t>
      </w:r>
      <w:r>
        <w:rPr>
          <w:rFonts w:ascii="Arial"/>
          <w:spacing w:val="-3"/>
          <w:sz w:val="24"/>
        </w:rPr>
        <w:t>manager </w:t>
      </w:r>
      <w:r>
        <w:rPr>
          <w:rFonts w:ascii="Arial"/>
          <w:sz w:val="24"/>
        </w:rPr>
        <w:t>reviews the claim and approves it for payment.</w:t>
      </w:r>
    </w:p>
    <w:p>
      <w:pPr>
        <w:pStyle w:val="ListParagraph"/>
        <w:numPr>
          <w:ilvl w:val="0"/>
          <w:numId w:val="16"/>
        </w:numPr>
        <w:tabs>
          <w:tab w:pos="940" w:val="left" w:leader="none"/>
        </w:tabs>
        <w:spacing w:line="276" w:lineRule="auto" w:before="0" w:after="0"/>
        <w:ind w:left="940" w:right="1699" w:hanging="360"/>
        <w:jc w:val="left"/>
        <w:rPr>
          <w:rFonts w:ascii="Arial"/>
          <w:sz w:val="24"/>
        </w:rPr>
      </w:pPr>
      <w:r>
        <w:rPr>
          <w:rFonts w:ascii="Arial"/>
          <w:sz w:val="24"/>
        </w:rPr>
        <w:t>Davis-Bacon and affirmative action monitoring is completed by the contract compliance officer who is a </w:t>
      </w:r>
      <w:r>
        <w:rPr>
          <w:rFonts w:ascii="Arial"/>
          <w:spacing w:val="-4"/>
          <w:sz w:val="24"/>
        </w:rPr>
        <w:t>staff </w:t>
      </w:r>
      <w:r>
        <w:rPr>
          <w:rFonts w:ascii="Arial"/>
          <w:sz w:val="24"/>
        </w:rPr>
        <w:t>attorney in the City of Bloomington Legal Department.</w:t>
      </w:r>
    </w:p>
    <w:p>
      <w:pPr>
        <w:pStyle w:val="ListParagraph"/>
        <w:numPr>
          <w:ilvl w:val="0"/>
          <w:numId w:val="16"/>
        </w:numPr>
        <w:tabs>
          <w:tab w:pos="940" w:val="left" w:leader="none"/>
        </w:tabs>
        <w:spacing w:line="276" w:lineRule="auto" w:before="0" w:after="0"/>
        <w:ind w:left="940" w:right="886" w:hanging="360"/>
        <w:jc w:val="left"/>
        <w:rPr>
          <w:rFonts w:ascii="Arial"/>
          <w:sz w:val="24"/>
        </w:rPr>
      </w:pPr>
      <w:r>
        <w:rPr>
          <w:rFonts w:ascii="Arial"/>
          <w:sz w:val="24"/>
        </w:rPr>
        <w:t>The HAND program manager will receive copies of all reports from the Monroe County Building Department, City </w:t>
      </w:r>
      <w:r>
        <w:rPr>
          <w:rFonts w:ascii="Arial"/>
          <w:spacing w:val="-9"/>
          <w:sz w:val="24"/>
        </w:rPr>
        <w:t>of </w:t>
      </w:r>
      <w:r>
        <w:rPr>
          <w:rFonts w:ascii="Arial"/>
          <w:sz w:val="24"/>
        </w:rPr>
        <w:t>Bloomington Planning Department, and/or City of Bloomington Fire Department for compliance with all city and</w:t>
      </w:r>
    </w:p>
    <w:p>
      <w:pPr>
        <w:spacing w:after="0" w:line="276" w:lineRule="auto"/>
        <w:jc w:val="left"/>
        <w:rPr>
          <w:rFonts w:ascii="Arial"/>
          <w:sz w:val="24"/>
        </w:rPr>
        <w:sectPr>
          <w:headerReference w:type="default" r:id="rId145"/>
          <w:footerReference w:type="default" r:id="rId146"/>
          <w:pgSz w:w="15840" w:h="12240" w:orient="landscape"/>
          <w:pgMar w:header="0" w:footer="1072" w:top="1140" w:bottom="1260" w:left="1220" w:right="560"/>
          <w:pgNumType w:start="116"/>
        </w:sectPr>
      </w:pPr>
    </w:p>
    <w:p>
      <w:pPr>
        <w:pStyle w:val="BodyText"/>
        <w:rPr>
          <w:rFonts w:ascii="Arial"/>
          <w:sz w:val="18"/>
        </w:rPr>
      </w:pPr>
    </w:p>
    <w:p>
      <w:pPr>
        <w:spacing w:line="276" w:lineRule="auto" w:before="93"/>
        <w:ind w:left="940" w:right="1079" w:firstLine="0"/>
        <w:jc w:val="left"/>
        <w:rPr>
          <w:rFonts w:ascii="Arial"/>
          <w:sz w:val="24"/>
        </w:rPr>
      </w:pPr>
      <w:r>
        <w:rPr>
          <w:rFonts w:ascii="Arial"/>
          <w:sz w:val="24"/>
        </w:rPr>
        <w:t>county regulations. If any other inspections are required or completed, a copy of that report must also be supplied to the program manager.</w:t>
      </w:r>
    </w:p>
    <w:p>
      <w:pPr>
        <w:pStyle w:val="ListParagraph"/>
        <w:numPr>
          <w:ilvl w:val="0"/>
          <w:numId w:val="16"/>
        </w:numPr>
        <w:tabs>
          <w:tab w:pos="940" w:val="left" w:leader="none"/>
        </w:tabs>
        <w:spacing w:line="276" w:lineRule="auto" w:before="0" w:after="0"/>
        <w:ind w:left="940" w:right="1299" w:hanging="360"/>
        <w:jc w:val="left"/>
        <w:rPr>
          <w:rFonts w:ascii="Arial"/>
          <w:sz w:val="24"/>
        </w:rPr>
      </w:pPr>
      <w:r>
        <w:rPr>
          <w:rFonts w:ascii="Arial"/>
          <w:sz w:val="24"/>
        </w:rPr>
        <w:t>The HAND program manager will also monitor for beneficiary compliance before completion in IDIS. Depending upon the project and the agency, monitoring may occur both before and after the project.</w:t>
      </w:r>
    </w:p>
    <w:p>
      <w:pPr>
        <w:pStyle w:val="BodyText"/>
        <w:spacing w:before="200"/>
        <w:ind w:left="220"/>
        <w:rPr>
          <w:rFonts w:ascii="Arial"/>
        </w:rPr>
      </w:pPr>
      <w:r>
        <w:rPr>
          <w:rFonts w:ascii="Arial"/>
        </w:rPr>
        <w:t>Social service programs are monitored as follows:</w:t>
      </w:r>
    </w:p>
    <w:p>
      <w:pPr>
        <w:pStyle w:val="BodyText"/>
        <w:spacing w:before="7"/>
        <w:rPr>
          <w:rFonts w:ascii="Arial"/>
          <w:sz w:val="20"/>
        </w:rPr>
      </w:pPr>
    </w:p>
    <w:p>
      <w:pPr>
        <w:pStyle w:val="Heading5"/>
        <w:numPr>
          <w:ilvl w:val="0"/>
          <w:numId w:val="17"/>
        </w:numPr>
        <w:tabs>
          <w:tab w:pos="940" w:val="left" w:leader="none"/>
        </w:tabs>
        <w:spacing w:line="276" w:lineRule="auto" w:before="1" w:after="0"/>
        <w:ind w:left="940" w:right="925" w:hanging="360"/>
        <w:jc w:val="left"/>
        <w:rPr>
          <w:rFonts w:ascii="Arial"/>
        </w:rPr>
      </w:pPr>
      <w:r>
        <w:rPr>
          <w:rFonts w:ascii="Arial"/>
        </w:rPr>
        <w:t>Each project is required to fill out an application to be reviewed by the Citizen Advisory Council (CAC) for allocation recommendation. Applications include specific information about the program funded and the beneficiaries.</w:t>
      </w:r>
    </w:p>
    <w:p>
      <w:pPr>
        <w:pStyle w:val="ListParagraph"/>
        <w:numPr>
          <w:ilvl w:val="0"/>
          <w:numId w:val="17"/>
        </w:numPr>
        <w:tabs>
          <w:tab w:pos="940" w:val="left" w:leader="none"/>
        </w:tabs>
        <w:spacing w:line="276" w:lineRule="auto" w:before="0" w:after="0"/>
        <w:ind w:left="940" w:right="1204" w:hanging="360"/>
        <w:jc w:val="left"/>
        <w:rPr>
          <w:rFonts w:ascii="Arial"/>
          <w:sz w:val="24"/>
        </w:rPr>
      </w:pPr>
      <w:r>
        <w:rPr>
          <w:rFonts w:ascii="Arial"/>
          <w:sz w:val="24"/>
        </w:rPr>
        <w:t>Successfully funded applications are required to sign a funding agreement outlining all requirements, regulations and standards.</w:t>
      </w:r>
    </w:p>
    <w:p>
      <w:pPr>
        <w:pStyle w:val="ListParagraph"/>
        <w:numPr>
          <w:ilvl w:val="0"/>
          <w:numId w:val="17"/>
        </w:numPr>
        <w:tabs>
          <w:tab w:pos="940" w:val="left" w:leader="none"/>
        </w:tabs>
        <w:spacing w:line="276" w:lineRule="auto" w:before="0" w:after="0"/>
        <w:ind w:left="940" w:right="1220" w:hanging="360"/>
        <w:jc w:val="left"/>
        <w:rPr>
          <w:rFonts w:ascii="Arial"/>
          <w:sz w:val="24"/>
        </w:rPr>
      </w:pPr>
      <w:r>
        <w:rPr>
          <w:rFonts w:ascii="Arial"/>
          <w:sz w:val="24"/>
        </w:rPr>
        <w:t>A program manager from HAND will receive and review all claims for payment. Claims for payment must </w:t>
      </w:r>
      <w:r>
        <w:rPr>
          <w:rFonts w:ascii="Arial"/>
          <w:spacing w:val="-3"/>
          <w:sz w:val="24"/>
        </w:rPr>
        <w:t>include </w:t>
      </w:r>
      <w:r>
        <w:rPr>
          <w:rFonts w:ascii="Arial"/>
          <w:sz w:val="24"/>
        </w:rPr>
        <w:t>beneficiary information.</w:t>
      </w:r>
    </w:p>
    <w:p>
      <w:pPr>
        <w:pStyle w:val="ListParagraph"/>
        <w:numPr>
          <w:ilvl w:val="0"/>
          <w:numId w:val="17"/>
        </w:numPr>
        <w:tabs>
          <w:tab w:pos="940" w:val="left" w:leader="none"/>
        </w:tabs>
        <w:spacing w:line="276" w:lineRule="auto" w:before="0" w:after="0"/>
        <w:ind w:left="940" w:right="1205" w:hanging="360"/>
        <w:jc w:val="left"/>
        <w:rPr>
          <w:rFonts w:ascii="Arial"/>
          <w:sz w:val="24"/>
        </w:rPr>
      </w:pPr>
      <w:r>
        <w:rPr>
          <w:rFonts w:ascii="Arial"/>
          <w:sz w:val="24"/>
        </w:rPr>
        <w:t>The HAND program manager will monitor for compliance prior to the end of the fiscal year. If needed, monitoring may occur at more regular intervals.</w:t>
      </w:r>
    </w:p>
    <w:p>
      <w:pPr>
        <w:pStyle w:val="BodyText"/>
        <w:spacing w:line="276" w:lineRule="auto" w:before="200"/>
        <w:ind w:left="220" w:right="1220"/>
        <w:rPr>
          <w:rFonts w:ascii="Arial"/>
        </w:rPr>
      </w:pPr>
      <w:r>
        <w:rPr>
          <w:rFonts w:ascii="Arial"/>
        </w:rPr>
        <w:t>There are two categories of HOME projects; HOME projects administered by HAND and HOME projects administered by CHDOs, Non-Profits, or For-Profit entities. HOME projects administered by HAND are monitored as follows:</w:t>
      </w:r>
    </w:p>
    <w:p>
      <w:pPr>
        <w:pStyle w:val="Heading5"/>
        <w:numPr>
          <w:ilvl w:val="0"/>
          <w:numId w:val="18"/>
        </w:numPr>
        <w:tabs>
          <w:tab w:pos="940" w:val="left" w:leader="none"/>
        </w:tabs>
        <w:spacing w:line="276" w:lineRule="auto" w:before="200" w:after="0"/>
        <w:ind w:left="940" w:right="1338" w:hanging="360"/>
        <w:jc w:val="left"/>
        <w:rPr>
          <w:rFonts w:ascii="Arial"/>
        </w:rPr>
      </w:pPr>
      <w:r>
        <w:rPr>
          <w:rFonts w:ascii="Arial"/>
        </w:rPr>
        <w:t>HAND operates a number of housing projects that are funded by HOME. Each client is required to fill out an application to determine eligibility. Each application is processed by the HAND program manager/loan officer </w:t>
      </w:r>
      <w:r>
        <w:rPr>
          <w:rFonts w:ascii="Arial"/>
          <w:spacing w:val="-9"/>
        </w:rPr>
        <w:t>to </w:t>
      </w:r>
      <w:r>
        <w:rPr>
          <w:rFonts w:ascii="Arial"/>
        </w:rPr>
        <w:t>determine income and residency eligibility and project feasibility.</w:t>
      </w:r>
    </w:p>
    <w:p>
      <w:pPr>
        <w:pStyle w:val="ListParagraph"/>
        <w:numPr>
          <w:ilvl w:val="0"/>
          <w:numId w:val="18"/>
        </w:numPr>
        <w:tabs>
          <w:tab w:pos="940" w:val="left" w:leader="none"/>
        </w:tabs>
        <w:spacing w:line="276" w:lineRule="auto" w:before="0" w:after="0"/>
        <w:ind w:left="940" w:right="938" w:hanging="360"/>
        <w:jc w:val="left"/>
        <w:rPr>
          <w:rFonts w:ascii="Arial"/>
          <w:sz w:val="24"/>
        </w:rPr>
      </w:pPr>
      <w:r>
        <w:rPr>
          <w:rFonts w:ascii="Arial"/>
          <w:sz w:val="24"/>
        </w:rPr>
        <w:t>The HAND program manager/construction project manager will inspect each project to determine project costs </w:t>
      </w:r>
      <w:r>
        <w:rPr>
          <w:rFonts w:ascii="Arial"/>
          <w:spacing w:val="-6"/>
          <w:sz w:val="24"/>
        </w:rPr>
        <w:t>and </w:t>
      </w:r>
      <w:r>
        <w:rPr>
          <w:rFonts w:ascii="Arial"/>
          <w:sz w:val="24"/>
        </w:rPr>
        <w:t>requirements.</w:t>
      </w:r>
    </w:p>
    <w:p>
      <w:pPr>
        <w:pStyle w:val="ListParagraph"/>
        <w:numPr>
          <w:ilvl w:val="0"/>
          <w:numId w:val="18"/>
        </w:numPr>
        <w:tabs>
          <w:tab w:pos="940" w:val="left" w:leader="none"/>
        </w:tabs>
        <w:spacing w:line="276" w:lineRule="auto" w:before="0" w:after="0"/>
        <w:ind w:left="940" w:right="1470" w:hanging="360"/>
        <w:jc w:val="left"/>
        <w:rPr>
          <w:rFonts w:ascii="Arial"/>
          <w:sz w:val="24"/>
        </w:rPr>
      </w:pPr>
      <w:r>
        <w:rPr>
          <w:rFonts w:ascii="Arial"/>
          <w:sz w:val="24"/>
        </w:rPr>
        <w:t>Upon approval of a project, funding agreements and/or mortgages are signed by applicant outlining terms </w:t>
      </w:r>
      <w:r>
        <w:rPr>
          <w:rFonts w:ascii="Arial"/>
          <w:spacing w:val="-6"/>
          <w:sz w:val="24"/>
        </w:rPr>
        <w:t>and </w:t>
      </w:r>
      <w:r>
        <w:rPr>
          <w:rFonts w:ascii="Arial"/>
          <w:sz w:val="24"/>
        </w:rPr>
        <w:t>conditions of funds.</w:t>
      </w:r>
    </w:p>
    <w:p>
      <w:pPr>
        <w:pStyle w:val="ListParagraph"/>
        <w:numPr>
          <w:ilvl w:val="0"/>
          <w:numId w:val="18"/>
        </w:numPr>
        <w:tabs>
          <w:tab w:pos="940" w:val="left" w:leader="none"/>
        </w:tabs>
        <w:spacing w:line="276" w:lineRule="auto" w:before="0" w:after="0"/>
        <w:ind w:left="940" w:right="1646" w:hanging="360"/>
        <w:jc w:val="left"/>
        <w:rPr>
          <w:rFonts w:ascii="Arial"/>
          <w:sz w:val="24"/>
        </w:rPr>
      </w:pPr>
      <w:r>
        <w:rPr>
          <w:rFonts w:ascii="Arial"/>
          <w:sz w:val="24"/>
        </w:rPr>
        <w:t>The HAND program manager/construction project manager will monitor the progress of the project, </w:t>
      </w:r>
      <w:r>
        <w:rPr>
          <w:rFonts w:ascii="Arial"/>
          <w:spacing w:val="-3"/>
          <w:sz w:val="24"/>
        </w:rPr>
        <w:t>ensuring </w:t>
      </w:r>
      <w:r>
        <w:rPr>
          <w:rFonts w:ascii="Arial"/>
          <w:sz w:val="24"/>
        </w:rPr>
        <w:t>compliance will all building codes and HAND construction standards.</w:t>
      </w:r>
    </w:p>
    <w:p>
      <w:pPr>
        <w:pStyle w:val="ListParagraph"/>
        <w:numPr>
          <w:ilvl w:val="0"/>
          <w:numId w:val="18"/>
        </w:numPr>
        <w:tabs>
          <w:tab w:pos="940" w:val="left" w:leader="none"/>
        </w:tabs>
        <w:spacing w:line="276" w:lineRule="auto" w:before="0" w:after="0"/>
        <w:ind w:left="940" w:right="1031" w:hanging="360"/>
        <w:jc w:val="left"/>
        <w:rPr>
          <w:rFonts w:ascii="Arial"/>
          <w:sz w:val="24"/>
        </w:rPr>
      </w:pPr>
      <w:r>
        <w:rPr>
          <w:rFonts w:ascii="Arial"/>
          <w:sz w:val="24"/>
        </w:rPr>
        <w:t>Claims for payment are reviewed and approved by the program manager/construction project manager monitoring the project.</w:t>
      </w:r>
    </w:p>
    <w:p>
      <w:pPr>
        <w:spacing w:after="0" w:line="276" w:lineRule="auto"/>
        <w:jc w:val="left"/>
        <w:rPr>
          <w:rFonts w:ascii="Arial"/>
          <w:sz w:val="24"/>
        </w:rPr>
        <w:sectPr>
          <w:headerReference w:type="default" r:id="rId147"/>
          <w:footerReference w:type="default" r:id="rId148"/>
          <w:pgSz w:w="15840" w:h="12240" w:orient="landscape"/>
          <w:pgMar w:header="0" w:footer="1072" w:top="1140" w:bottom="1260" w:left="1220" w:right="560"/>
          <w:pgNumType w:start="117"/>
        </w:sectPr>
      </w:pPr>
    </w:p>
    <w:p>
      <w:pPr>
        <w:pStyle w:val="BodyText"/>
        <w:rPr>
          <w:rFonts w:ascii="Arial"/>
          <w:sz w:val="18"/>
        </w:rPr>
      </w:pPr>
    </w:p>
    <w:p>
      <w:pPr>
        <w:pStyle w:val="ListParagraph"/>
        <w:numPr>
          <w:ilvl w:val="0"/>
          <w:numId w:val="18"/>
        </w:numPr>
        <w:tabs>
          <w:tab w:pos="940" w:val="left" w:leader="none"/>
        </w:tabs>
        <w:spacing w:line="276" w:lineRule="auto" w:before="93" w:after="0"/>
        <w:ind w:left="940" w:right="911" w:hanging="360"/>
        <w:jc w:val="left"/>
        <w:rPr>
          <w:rFonts w:ascii="Arial"/>
          <w:sz w:val="24"/>
        </w:rPr>
      </w:pPr>
      <w:r>
        <w:rPr>
          <w:rFonts w:ascii="Arial"/>
          <w:sz w:val="24"/>
        </w:rPr>
        <w:t>A final inspection at the completion of the project must be completed prior to the final payment. This inspection </w:t>
      </w:r>
      <w:r>
        <w:rPr>
          <w:rFonts w:ascii="Arial"/>
          <w:spacing w:val="-5"/>
          <w:sz w:val="24"/>
        </w:rPr>
        <w:t>also </w:t>
      </w:r>
      <w:r>
        <w:rPr>
          <w:rFonts w:ascii="Arial"/>
          <w:sz w:val="24"/>
        </w:rPr>
        <w:t>includes obtaining the certificate of occupancy from the Building Department.</w:t>
      </w:r>
    </w:p>
    <w:p>
      <w:pPr>
        <w:pStyle w:val="BodyText"/>
        <w:spacing w:before="200"/>
        <w:ind w:left="220"/>
        <w:rPr>
          <w:rFonts w:ascii="Arial" w:hAnsi="Arial"/>
        </w:rPr>
      </w:pPr>
      <w:r>
        <w:rPr>
          <w:rFonts w:ascii="Arial" w:hAnsi="Arial"/>
        </w:rPr>
        <w:t>HOME projects administered by CHDO’s, non-profits or for-profit entities are monitored (annually or as required) as follows:</w:t>
      </w:r>
    </w:p>
    <w:p>
      <w:pPr>
        <w:pStyle w:val="BodyText"/>
        <w:spacing w:before="7"/>
        <w:rPr>
          <w:rFonts w:ascii="Arial"/>
          <w:sz w:val="20"/>
        </w:rPr>
      </w:pPr>
    </w:p>
    <w:p>
      <w:pPr>
        <w:pStyle w:val="Heading5"/>
        <w:numPr>
          <w:ilvl w:val="0"/>
          <w:numId w:val="19"/>
        </w:numPr>
        <w:tabs>
          <w:tab w:pos="940" w:val="left" w:leader="none"/>
        </w:tabs>
        <w:spacing w:line="240" w:lineRule="auto" w:before="1" w:after="0"/>
        <w:ind w:left="940" w:right="0" w:hanging="360"/>
        <w:jc w:val="left"/>
        <w:rPr>
          <w:rFonts w:ascii="Arial"/>
        </w:rPr>
      </w:pPr>
      <w:r>
        <w:rPr>
          <w:rFonts w:ascii="Arial"/>
        </w:rPr>
        <w:t>Applications for funding must include specific details about the project, costs and beneficiaries.</w:t>
      </w:r>
    </w:p>
    <w:p>
      <w:pPr>
        <w:pStyle w:val="ListParagraph"/>
        <w:numPr>
          <w:ilvl w:val="0"/>
          <w:numId w:val="19"/>
        </w:numPr>
        <w:tabs>
          <w:tab w:pos="940" w:val="left" w:leader="none"/>
        </w:tabs>
        <w:spacing w:line="276" w:lineRule="auto" w:before="41" w:after="0"/>
        <w:ind w:left="940" w:right="923" w:hanging="360"/>
        <w:jc w:val="left"/>
        <w:rPr>
          <w:rFonts w:ascii="Arial"/>
          <w:sz w:val="24"/>
        </w:rPr>
      </w:pPr>
      <w:r>
        <w:rPr>
          <w:rFonts w:ascii="Arial"/>
          <w:sz w:val="24"/>
        </w:rPr>
        <w:t>Successfully funded applications are required to sign a funding agreement, mortgage and/or covenants outlining </w:t>
      </w:r>
      <w:r>
        <w:rPr>
          <w:rFonts w:ascii="Arial"/>
          <w:spacing w:val="-6"/>
          <w:sz w:val="24"/>
        </w:rPr>
        <w:t>all </w:t>
      </w:r>
      <w:r>
        <w:rPr>
          <w:rFonts w:ascii="Arial"/>
          <w:sz w:val="24"/>
        </w:rPr>
        <w:t>requirements, regulations and standards.</w:t>
      </w:r>
    </w:p>
    <w:p>
      <w:pPr>
        <w:pStyle w:val="ListParagraph"/>
        <w:numPr>
          <w:ilvl w:val="0"/>
          <w:numId w:val="19"/>
        </w:numPr>
        <w:tabs>
          <w:tab w:pos="940" w:val="left" w:leader="none"/>
        </w:tabs>
        <w:spacing w:line="240" w:lineRule="auto" w:before="0" w:after="0"/>
        <w:ind w:left="940" w:right="0" w:hanging="360"/>
        <w:jc w:val="left"/>
        <w:rPr>
          <w:rFonts w:ascii="Arial"/>
          <w:sz w:val="24"/>
        </w:rPr>
      </w:pPr>
      <w:r>
        <w:rPr>
          <w:rFonts w:ascii="Arial"/>
          <w:sz w:val="24"/>
        </w:rPr>
        <w:t>A program manager from HAND will do site inspections periodically throughout the project.</w:t>
      </w:r>
    </w:p>
    <w:p>
      <w:pPr>
        <w:pStyle w:val="ListParagraph"/>
        <w:numPr>
          <w:ilvl w:val="0"/>
          <w:numId w:val="19"/>
        </w:numPr>
        <w:tabs>
          <w:tab w:pos="940" w:val="left" w:leader="none"/>
        </w:tabs>
        <w:spacing w:line="276" w:lineRule="auto" w:before="41" w:after="0"/>
        <w:ind w:left="940" w:right="1192" w:hanging="360"/>
        <w:jc w:val="left"/>
        <w:rPr>
          <w:rFonts w:ascii="Arial"/>
          <w:sz w:val="24"/>
        </w:rPr>
      </w:pPr>
      <w:r>
        <w:rPr>
          <w:rFonts w:ascii="Arial"/>
          <w:sz w:val="24"/>
        </w:rPr>
        <w:t>Claims for payment are filed, with appropriate documentation, with the program manager. The program </w:t>
      </w:r>
      <w:r>
        <w:rPr>
          <w:rFonts w:ascii="Arial"/>
          <w:spacing w:val="-3"/>
          <w:sz w:val="24"/>
        </w:rPr>
        <w:t>manager </w:t>
      </w:r>
      <w:r>
        <w:rPr>
          <w:rFonts w:ascii="Arial"/>
          <w:sz w:val="24"/>
        </w:rPr>
        <w:t>reviews the claim and approves it for payment.</w:t>
      </w:r>
    </w:p>
    <w:p>
      <w:pPr>
        <w:pStyle w:val="ListParagraph"/>
        <w:numPr>
          <w:ilvl w:val="0"/>
          <w:numId w:val="19"/>
        </w:numPr>
        <w:tabs>
          <w:tab w:pos="940" w:val="left" w:leader="none"/>
        </w:tabs>
        <w:spacing w:line="276" w:lineRule="auto" w:before="0" w:after="0"/>
        <w:ind w:left="940" w:right="952" w:hanging="360"/>
        <w:jc w:val="left"/>
        <w:rPr>
          <w:rFonts w:ascii="Arial"/>
          <w:sz w:val="24"/>
        </w:rPr>
      </w:pPr>
      <w:r>
        <w:rPr>
          <w:rFonts w:ascii="Arial"/>
          <w:sz w:val="24"/>
        </w:rPr>
        <w:t>Davis-Bacon and affirmative action monitoring, if applicable, is completed by the contract compliance officer who </w:t>
      </w:r>
      <w:r>
        <w:rPr>
          <w:rFonts w:ascii="Arial"/>
          <w:spacing w:val="-9"/>
          <w:sz w:val="24"/>
        </w:rPr>
        <w:t>is </w:t>
      </w:r>
      <w:r>
        <w:rPr>
          <w:rFonts w:ascii="Arial"/>
          <w:sz w:val="24"/>
        </w:rPr>
        <w:t>a staff attorney in the City of Bloomington Legal Department.</w:t>
      </w:r>
    </w:p>
    <w:p>
      <w:pPr>
        <w:pStyle w:val="ListParagraph"/>
        <w:numPr>
          <w:ilvl w:val="0"/>
          <w:numId w:val="19"/>
        </w:numPr>
        <w:tabs>
          <w:tab w:pos="940" w:val="left" w:leader="none"/>
        </w:tabs>
        <w:spacing w:line="276" w:lineRule="auto" w:before="0" w:after="0"/>
        <w:ind w:left="940" w:right="886" w:hanging="360"/>
        <w:jc w:val="left"/>
        <w:rPr>
          <w:rFonts w:ascii="Arial"/>
          <w:sz w:val="24"/>
        </w:rPr>
      </w:pPr>
      <w:r>
        <w:rPr>
          <w:rFonts w:ascii="Arial"/>
          <w:sz w:val="24"/>
        </w:rPr>
        <w:t>The HAND program manager will receive copies of all reports from the Monroe County Building Department, City </w:t>
      </w:r>
      <w:r>
        <w:rPr>
          <w:rFonts w:ascii="Arial"/>
          <w:spacing w:val="-9"/>
          <w:sz w:val="24"/>
        </w:rPr>
        <w:t>of </w:t>
      </w:r>
      <w:r>
        <w:rPr>
          <w:rFonts w:ascii="Arial"/>
          <w:sz w:val="24"/>
        </w:rPr>
        <w:t>Bloomington Planning Department, and/or City of Bloomington Fire Department for compliance with all city and county regulations. If any other inspections are required or completed, a copy of that report must also be supplied to the program manager.</w:t>
      </w:r>
    </w:p>
    <w:p>
      <w:pPr>
        <w:pStyle w:val="ListParagraph"/>
        <w:numPr>
          <w:ilvl w:val="0"/>
          <w:numId w:val="19"/>
        </w:numPr>
        <w:tabs>
          <w:tab w:pos="940" w:val="left" w:leader="none"/>
        </w:tabs>
        <w:spacing w:line="276" w:lineRule="auto" w:before="0" w:after="0"/>
        <w:ind w:left="940" w:right="1405" w:hanging="360"/>
        <w:jc w:val="left"/>
        <w:rPr>
          <w:rFonts w:ascii="Arial"/>
          <w:sz w:val="24"/>
        </w:rPr>
      </w:pPr>
      <w:r>
        <w:rPr>
          <w:rFonts w:ascii="Arial"/>
          <w:sz w:val="24"/>
        </w:rPr>
        <w:t>The HAND program manager will also monitor for beneficiary compliance. Depending upon the project and </w:t>
      </w:r>
      <w:r>
        <w:rPr>
          <w:rFonts w:ascii="Arial"/>
          <w:spacing w:val="-6"/>
          <w:sz w:val="24"/>
        </w:rPr>
        <w:t>the </w:t>
      </w:r>
      <w:r>
        <w:rPr>
          <w:rFonts w:ascii="Arial"/>
          <w:sz w:val="24"/>
        </w:rPr>
        <w:t>agency, monitoring may occur both before and after the project.</w:t>
      </w:r>
    </w:p>
    <w:p>
      <w:pPr>
        <w:pStyle w:val="BodyText"/>
        <w:spacing w:before="200"/>
        <w:ind w:left="220"/>
        <w:rPr>
          <w:rFonts w:ascii="Arial"/>
        </w:rPr>
      </w:pPr>
      <w:r>
        <w:rPr>
          <w:rFonts w:ascii="Arial"/>
        </w:rPr>
        <w:t>HOME rental projects are monitored (annually or as required) as follows:</w:t>
      </w:r>
    </w:p>
    <w:p>
      <w:pPr>
        <w:pStyle w:val="BodyText"/>
        <w:spacing w:before="8"/>
        <w:rPr>
          <w:rFonts w:ascii="Arial"/>
          <w:sz w:val="20"/>
        </w:rPr>
      </w:pPr>
    </w:p>
    <w:p>
      <w:pPr>
        <w:pStyle w:val="Heading5"/>
        <w:numPr>
          <w:ilvl w:val="0"/>
          <w:numId w:val="20"/>
        </w:numPr>
        <w:tabs>
          <w:tab w:pos="940" w:val="left" w:leader="none"/>
        </w:tabs>
        <w:spacing w:line="276" w:lineRule="auto" w:before="0" w:after="0"/>
        <w:ind w:left="940" w:right="1978" w:hanging="360"/>
        <w:jc w:val="left"/>
        <w:rPr>
          <w:rFonts w:ascii="Arial"/>
        </w:rPr>
      </w:pPr>
      <w:r>
        <w:rPr>
          <w:rFonts w:ascii="Arial"/>
        </w:rPr>
        <w:t>Each project is monitored as described above; however, on an annual basis each project is monitored </w:t>
      </w:r>
      <w:r>
        <w:rPr>
          <w:rFonts w:ascii="Arial"/>
          <w:spacing w:val="-6"/>
        </w:rPr>
        <w:t>for </w:t>
      </w:r>
      <w:r>
        <w:rPr>
          <w:rFonts w:ascii="Arial"/>
        </w:rPr>
        <w:t>beneficiary compliance.</w:t>
      </w:r>
    </w:p>
    <w:p>
      <w:pPr>
        <w:pStyle w:val="ListParagraph"/>
        <w:numPr>
          <w:ilvl w:val="0"/>
          <w:numId w:val="20"/>
        </w:numPr>
        <w:tabs>
          <w:tab w:pos="940" w:val="left" w:leader="none"/>
        </w:tabs>
        <w:spacing w:line="276" w:lineRule="auto" w:before="0" w:after="0"/>
        <w:ind w:left="940" w:right="1952" w:hanging="360"/>
        <w:jc w:val="left"/>
        <w:rPr>
          <w:rFonts w:ascii="Arial"/>
          <w:sz w:val="24"/>
        </w:rPr>
      </w:pPr>
      <w:r>
        <w:rPr>
          <w:rFonts w:ascii="Arial"/>
          <w:sz w:val="24"/>
        </w:rPr>
        <w:t>Documentation is provided to the program manager to ensure compliance with the funding agreement/mortgage/covenants. This documentation shows the number of assisted units, income level </w:t>
      </w:r>
      <w:r>
        <w:rPr>
          <w:rFonts w:ascii="Arial"/>
          <w:spacing w:val="-9"/>
          <w:sz w:val="24"/>
        </w:rPr>
        <w:t>of </w:t>
      </w:r>
      <w:r>
        <w:rPr>
          <w:rFonts w:ascii="Arial"/>
          <w:sz w:val="24"/>
        </w:rPr>
        <w:t>residents, utility allowances, and units receiving Section 8 or units receiving TBRA, if applicable.</w:t>
      </w:r>
    </w:p>
    <w:p>
      <w:pPr>
        <w:pStyle w:val="ListParagraph"/>
        <w:numPr>
          <w:ilvl w:val="0"/>
          <w:numId w:val="20"/>
        </w:numPr>
        <w:tabs>
          <w:tab w:pos="940" w:val="left" w:leader="none"/>
        </w:tabs>
        <w:spacing w:line="240" w:lineRule="auto" w:before="0" w:after="0"/>
        <w:ind w:left="940" w:right="0" w:hanging="360"/>
        <w:jc w:val="left"/>
        <w:rPr>
          <w:rFonts w:ascii="Arial"/>
          <w:sz w:val="24"/>
        </w:rPr>
      </w:pPr>
      <w:r>
        <w:rPr>
          <w:rFonts w:ascii="Arial"/>
          <w:sz w:val="24"/>
        </w:rPr>
        <w:t>Program manager may contact tenants to verify information provided.</w:t>
      </w:r>
    </w:p>
    <w:p>
      <w:pPr>
        <w:spacing w:after="0" w:line="240" w:lineRule="auto"/>
        <w:jc w:val="left"/>
        <w:rPr>
          <w:rFonts w:ascii="Arial"/>
          <w:sz w:val="24"/>
        </w:rPr>
        <w:sectPr>
          <w:headerReference w:type="default" r:id="rId149"/>
          <w:footerReference w:type="default" r:id="rId150"/>
          <w:pgSz w:w="15840" w:h="12240" w:orient="landscape"/>
          <w:pgMar w:header="0" w:footer="1072" w:top="1140" w:bottom="1260" w:left="1220" w:right="560"/>
          <w:pgNumType w:start="118"/>
        </w:sectPr>
      </w:pPr>
    </w:p>
    <w:p>
      <w:pPr>
        <w:pStyle w:val="BodyText"/>
        <w:rPr>
          <w:rFonts w:ascii="Arial"/>
          <w:sz w:val="18"/>
        </w:rPr>
      </w:pPr>
    </w:p>
    <w:p>
      <w:pPr>
        <w:pStyle w:val="ListParagraph"/>
        <w:numPr>
          <w:ilvl w:val="0"/>
          <w:numId w:val="20"/>
        </w:numPr>
        <w:tabs>
          <w:tab w:pos="940" w:val="left" w:leader="none"/>
        </w:tabs>
        <w:spacing w:line="276" w:lineRule="auto" w:before="93" w:after="0"/>
        <w:ind w:left="940" w:right="925" w:hanging="360"/>
        <w:jc w:val="left"/>
        <w:rPr>
          <w:rFonts w:ascii="Arial" w:hAnsi="Arial"/>
          <w:sz w:val="24"/>
        </w:rPr>
      </w:pPr>
      <w:r>
        <w:rPr>
          <w:rFonts w:ascii="Arial" w:hAnsi="Arial"/>
          <w:sz w:val="24"/>
        </w:rPr>
        <w:t>Physical inspections of HOME units are handled through HAND’s comprehensive rental inspection program. </w:t>
      </w:r>
      <w:r>
        <w:rPr>
          <w:rFonts w:ascii="Arial" w:hAnsi="Arial"/>
          <w:spacing w:val="-4"/>
          <w:sz w:val="24"/>
        </w:rPr>
        <w:t>Those </w:t>
      </w:r>
      <w:r>
        <w:rPr>
          <w:rFonts w:ascii="Arial" w:hAnsi="Arial"/>
          <w:sz w:val="24"/>
        </w:rPr>
        <w:t>inspections verify the physical condition of each unit and ensure that they are in compliance with HOME standards and the City’s Housing and Property Maintenance Code.</w:t>
      </w:r>
    </w:p>
    <w:p>
      <w:pPr>
        <w:pStyle w:val="BodyText"/>
        <w:spacing w:before="200"/>
        <w:ind w:left="220"/>
        <w:rPr>
          <w:rFonts w:ascii="Arial"/>
        </w:rPr>
      </w:pPr>
      <w:r>
        <w:rPr>
          <w:rFonts w:ascii="Arial"/>
        </w:rPr>
        <w:t>TBRA projects are governed according to their funding agreements.</w:t>
      </w:r>
    </w:p>
    <w:p>
      <w:pPr>
        <w:pStyle w:val="BodyText"/>
        <w:spacing w:before="7"/>
        <w:rPr>
          <w:rFonts w:ascii="Arial"/>
          <w:sz w:val="20"/>
        </w:rPr>
      </w:pPr>
    </w:p>
    <w:p>
      <w:pPr>
        <w:pStyle w:val="Heading5"/>
        <w:numPr>
          <w:ilvl w:val="0"/>
          <w:numId w:val="21"/>
        </w:numPr>
        <w:tabs>
          <w:tab w:pos="940" w:val="left" w:leader="none"/>
        </w:tabs>
        <w:spacing w:line="276" w:lineRule="auto" w:before="1" w:after="0"/>
        <w:ind w:left="940" w:right="951" w:hanging="360"/>
        <w:jc w:val="left"/>
        <w:rPr>
          <w:rFonts w:ascii="Arial"/>
        </w:rPr>
      </w:pPr>
      <w:r>
        <w:rPr>
          <w:rFonts w:ascii="Arial"/>
        </w:rPr>
        <w:t>On an annual basis, the HAND program manager meets with the administrator of each TBRA program. The administrator provides the program manager with information program policy and procedures, outreach, participant selection, unit information (including lead-based paint visual and HQS inspections), tenant income documentation, tenant leases, and, if applicable information regarding required self-sufficiency programming.</w:t>
      </w:r>
    </w:p>
    <w:p>
      <w:pPr>
        <w:pStyle w:val="ListParagraph"/>
        <w:numPr>
          <w:ilvl w:val="0"/>
          <w:numId w:val="21"/>
        </w:numPr>
        <w:tabs>
          <w:tab w:pos="940" w:val="left" w:leader="none"/>
        </w:tabs>
        <w:spacing w:line="240" w:lineRule="auto" w:before="0" w:after="0"/>
        <w:ind w:left="940" w:right="0" w:hanging="360"/>
        <w:jc w:val="left"/>
        <w:rPr>
          <w:rFonts w:ascii="Arial"/>
          <w:sz w:val="24"/>
        </w:rPr>
      </w:pPr>
      <w:r>
        <w:rPr>
          <w:rFonts w:ascii="Arial"/>
          <w:sz w:val="24"/>
        </w:rPr>
        <w:t>The HAND program manager may meet with the tenants to verify information.</w:t>
      </w:r>
    </w:p>
    <w:p>
      <w:pPr>
        <w:pStyle w:val="ListParagraph"/>
        <w:numPr>
          <w:ilvl w:val="0"/>
          <w:numId w:val="21"/>
        </w:numPr>
        <w:tabs>
          <w:tab w:pos="940" w:val="left" w:leader="none"/>
        </w:tabs>
        <w:spacing w:line="240" w:lineRule="auto" w:before="41" w:after="0"/>
        <w:ind w:left="940" w:right="0" w:hanging="360"/>
        <w:jc w:val="left"/>
        <w:rPr>
          <w:rFonts w:ascii="Arial"/>
          <w:sz w:val="24"/>
        </w:rPr>
      </w:pPr>
      <w:r>
        <w:rPr>
          <w:rFonts w:ascii="Arial"/>
          <w:sz w:val="24"/>
        </w:rPr>
        <w:t>Claims for payment must be approved by the HAND program manager and must include applicable documentation.</w:t>
      </w:r>
    </w:p>
    <w:p>
      <w:pPr>
        <w:spacing w:after="0" w:line="240" w:lineRule="auto"/>
        <w:jc w:val="left"/>
        <w:rPr>
          <w:rFonts w:ascii="Arial"/>
          <w:sz w:val="24"/>
        </w:rPr>
        <w:sectPr>
          <w:headerReference w:type="default" r:id="rId151"/>
          <w:footerReference w:type="default" r:id="rId152"/>
          <w:pgSz w:w="15840" w:h="12240" w:orient="landscape"/>
          <w:pgMar w:header="0" w:footer="1072" w:top="1140" w:bottom="1260" w:left="1220" w:right="560"/>
          <w:pgNumType w:start="119"/>
        </w:sectPr>
      </w:pPr>
    </w:p>
    <w:p>
      <w:pPr>
        <w:pStyle w:val="BodyText"/>
        <w:rPr>
          <w:rFonts w:ascii="Arial"/>
          <w:sz w:val="20"/>
        </w:rPr>
      </w:pPr>
    </w:p>
    <w:p>
      <w:pPr>
        <w:pStyle w:val="BodyText"/>
        <w:rPr>
          <w:rFonts w:ascii="Arial"/>
          <w:sz w:val="20"/>
        </w:rPr>
      </w:pPr>
    </w:p>
    <w:p>
      <w:pPr>
        <w:pStyle w:val="Heading2"/>
        <w:spacing w:before="206"/>
        <w:ind w:left="4827" w:right="4837"/>
      </w:pPr>
      <w:bookmarkStart w:name="_TOC_250009" w:id="13"/>
      <w:bookmarkEnd w:id="13"/>
      <w:r>
        <w:rPr/>
        <w:t>Expected Resources</w:t>
      </w:r>
    </w:p>
    <w:p>
      <w:pPr>
        <w:pStyle w:val="Heading1"/>
        <w:spacing w:before="218"/>
      </w:pPr>
      <w:bookmarkStart w:name="_TOC_250008" w:id="14"/>
      <w:bookmarkEnd w:id="14"/>
      <w:r>
        <w:rPr>
          <w:color w:val="0E4661"/>
        </w:rPr>
        <w:t>AP-15 Expected Resources – 91.220(c)(1,2)</w:t>
      </w:r>
    </w:p>
    <w:p>
      <w:pPr>
        <w:spacing w:line="367" w:lineRule="auto" w:before="137"/>
        <w:ind w:left="220" w:right="11598" w:firstLine="0"/>
        <w:jc w:val="left"/>
        <w:rPr>
          <w:b/>
          <w:sz w:val="24"/>
        </w:rPr>
      </w:pPr>
      <w:r>
        <w:rPr>
          <w:b/>
          <w:sz w:val="24"/>
        </w:rPr>
        <w:t>Introduction Anticipated Resources</w:t>
      </w:r>
    </w:p>
    <w:p>
      <w:pPr>
        <w:pStyle w:val="BodyText"/>
        <w:rPr>
          <w:b/>
          <w:sz w:val="7"/>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9"/>
        <w:gridCol w:w="962"/>
        <w:gridCol w:w="1513"/>
        <w:gridCol w:w="1134"/>
        <w:gridCol w:w="929"/>
        <w:gridCol w:w="1115"/>
        <w:gridCol w:w="1134"/>
        <w:gridCol w:w="1318"/>
        <w:gridCol w:w="1537"/>
      </w:tblGrid>
      <w:tr>
        <w:trPr>
          <w:trHeight w:val="239" w:hRule="atLeast"/>
        </w:trPr>
        <w:tc>
          <w:tcPr>
            <w:tcW w:w="929" w:type="dxa"/>
            <w:vMerge w:val="restart"/>
          </w:tcPr>
          <w:p>
            <w:pPr>
              <w:pStyle w:val="TableParagraph"/>
              <w:spacing w:before="1"/>
              <w:ind w:left="380" w:right="158" w:hanging="194"/>
              <w:rPr>
                <w:b/>
                <w:sz w:val="20"/>
              </w:rPr>
            </w:pPr>
            <w:r>
              <w:rPr>
                <w:b/>
                <w:sz w:val="20"/>
              </w:rPr>
              <w:t>Progra m</w:t>
            </w:r>
          </w:p>
        </w:tc>
        <w:tc>
          <w:tcPr>
            <w:tcW w:w="962" w:type="dxa"/>
            <w:vMerge w:val="restart"/>
          </w:tcPr>
          <w:p>
            <w:pPr>
              <w:pStyle w:val="TableParagraph"/>
              <w:spacing w:before="1"/>
              <w:ind w:left="123" w:right="94" w:firstLine="72"/>
              <w:rPr>
                <w:b/>
                <w:sz w:val="20"/>
              </w:rPr>
            </w:pPr>
            <w:r>
              <w:rPr>
                <w:b/>
                <w:sz w:val="20"/>
              </w:rPr>
              <w:t>Source of Funds</w:t>
            </w:r>
          </w:p>
        </w:tc>
        <w:tc>
          <w:tcPr>
            <w:tcW w:w="1513" w:type="dxa"/>
            <w:vMerge w:val="restart"/>
          </w:tcPr>
          <w:p>
            <w:pPr>
              <w:pStyle w:val="TableParagraph"/>
              <w:spacing w:before="1"/>
              <w:ind w:left="181"/>
              <w:rPr>
                <w:b/>
                <w:sz w:val="20"/>
              </w:rPr>
            </w:pPr>
            <w:r>
              <w:rPr>
                <w:b/>
                <w:sz w:val="20"/>
              </w:rPr>
              <w:t>Uses of Funds</w:t>
            </w:r>
          </w:p>
        </w:tc>
        <w:tc>
          <w:tcPr>
            <w:tcW w:w="4312" w:type="dxa"/>
            <w:gridSpan w:val="4"/>
          </w:tcPr>
          <w:p>
            <w:pPr>
              <w:pStyle w:val="TableParagraph"/>
              <w:spacing w:line="218" w:lineRule="exact" w:before="1"/>
              <w:ind w:left="723"/>
              <w:rPr>
                <w:b/>
                <w:sz w:val="20"/>
              </w:rPr>
            </w:pPr>
            <w:r>
              <w:rPr>
                <w:b/>
                <w:sz w:val="20"/>
              </w:rPr>
              <w:t>Expected Amount Available Year 1</w:t>
            </w:r>
          </w:p>
        </w:tc>
        <w:tc>
          <w:tcPr>
            <w:tcW w:w="1318" w:type="dxa"/>
            <w:vMerge w:val="restart"/>
          </w:tcPr>
          <w:p>
            <w:pPr>
              <w:pStyle w:val="TableParagraph"/>
              <w:spacing w:before="1"/>
              <w:ind w:left="184" w:right="189" w:firstLine="16"/>
              <w:jc w:val="center"/>
              <w:rPr>
                <w:b/>
                <w:sz w:val="20"/>
              </w:rPr>
            </w:pPr>
            <w:r>
              <w:rPr>
                <w:b/>
                <w:sz w:val="20"/>
              </w:rPr>
              <w:t>Expected Amount Available Remainder of ConPlan</w:t>
            </w:r>
          </w:p>
          <w:p>
            <w:pPr>
              <w:pStyle w:val="TableParagraph"/>
              <w:spacing w:line="213" w:lineRule="exact"/>
              <w:ind w:left="9"/>
              <w:jc w:val="center"/>
              <w:rPr>
                <w:b/>
                <w:sz w:val="20"/>
              </w:rPr>
            </w:pPr>
            <w:r>
              <w:rPr>
                <w:b/>
                <w:sz w:val="20"/>
              </w:rPr>
              <w:t>$</w:t>
            </w:r>
          </w:p>
        </w:tc>
        <w:tc>
          <w:tcPr>
            <w:tcW w:w="1537" w:type="dxa"/>
            <w:vMerge w:val="restart"/>
          </w:tcPr>
          <w:p>
            <w:pPr>
              <w:pStyle w:val="TableParagraph"/>
              <w:spacing w:before="1"/>
              <w:ind w:left="290" w:right="260" w:firstLine="82"/>
              <w:rPr>
                <w:b/>
                <w:sz w:val="20"/>
              </w:rPr>
            </w:pPr>
            <w:r>
              <w:rPr>
                <w:b/>
                <w:sz w:val="20"/>
              </w:rPr>
              <w:t>Narrative Description</w:t>
            </w:r>
          </w:p>
        </w:tc>
      </w:tr>
      <w:tr>
        <w:trPr>
          <w:trHeight w:val="1200" w:hRule="atLeast"/>
        </w:trPr>
        <w:tc>
          <w:tcPr>
            <w:tcW w:w="929" w:type="dxa"/>
            <w:vMerge/>
            <w:tcBorders>
              <w:top w:val="nil"/>
            </w:tcBorders>
          </w:tcPr>
          <w:p>
            <w:pPr>
              <w:rPr>
                <w:sz w:val="2"/>
                <w:szCs w:val="2"/>
              </w:rPr>
            </w:pPr>
          </w:p>
        </w:tc>
        <w:tc>
          <w:tcPr>
            <w:tcW w:w="962" w:type="dxa"/>
            <w:vMerge/>
            <w:tcBorders>
              <w:top w:val="nil"/>
            </w:tcBorders>
          </w:tcPr>
          <w:p>
            <w:pPr>
              <w:rPr>
                <w:sz w:val="2"/>
                <w:szCs w:val="2"/>
              </w:rPr>
            </w:pPr>
          </w:p>
        </w:tc>
        <w:tc>
          <w:tcPr>
            <w:tcW w:w="1513" w:type="dxa"/>
            <w:vMerge/>
            <w:tcBorders>
              <w:top w:val="nil"/>
            </w:tcBorders>
          </w:tcPr>
          <w:p>
            <w:pPr>
              <w:rPr>
                <w:sz w:val="2"/>
                <w:szCs w:val="2"/>
              </w:rPr>
            </w:pPr>
          </w:p>
        </w:tc>
        <w:tc>
          <w:tcPr>
            <w:tcW w:w="1134" w:type="dxa"/>
          </w:tcPr>
          <w:p>
            <w:pPr>
              <w:pStyle w:val="TableParagraph"/>
              <w:spacing w:before="1"/>
              <w:ind w:left="115" w:right="103"/>
              <w:jc w:val="center"/>
              <w:rPr>
                <w:b/>
                <w:sz w:val="20"/>
              </w:rPr>
            </w:pPr>
            <w:r>
              <w:rPr>
                <w:b/>
                <w:sz w:val="20"/>
              </w:rPr>
              <w:t>Annual Allocation:</w:t>
            </w:r>
          </w:p>
          <w:p>
            <w:pPr>
              <w:pStyle w:val="TableParagraph"/>
              <w:ind w:left="10"/>
              <w:jc w:val="center"/>
              <w:rPr>
                <w:b/>
                <w:sz w:val="20"/>
              </w:rPr>
            </w:pPr>
            <w:r>
              <w:rPr>
                <w:b/>
                <w:sz w:val="20"/>
              </w:rPr>
              <w:t>$</w:t>
            </w:r>
          </w:p>
        </w:tc>
        <w:tc>
          <w:tcPr>
            <w:tcW w:w="929" w:type="dxa"/>
          </w:tcPr>
          <w:p>
            <w:pPr>
              <w:pStyle w:val="TableParagraph"/>
              <w:spacing w:before="1"/>
              <w:ind w:left="126" w:right="114"/>
              <w:jc w:val="center"/>
              <w:rPr>
                <w:b/>
                <w:sz w:val="20"/>
              </w:rPr>
            </w:pPr>
            <w:r>
              <w:rPr>
                <w:b/>
                <w:sz w:val="20"/>
              </w:rPr>
              <w:t>Progra m   Income:</w:t>
            </w:r>
          </w:p>
          <w:p>
            <w:pPr>
              <w:pStyle w:val="TableParagraph"/>
              <w:ind w:left="9"/>
              <w:jc w:val="center"/>
              <w:rPr>
                <w:b/>
                <w:sz w:val="20"/>
              </w:rPr>
            </w:pPr>
            <w:r>
              <w:rPr>
                <w:b/>
                <w:sz w:val="20"/>
              </w:rPr>
              <w:t>$</w:t>
            </w:r>
          </w:p>
        </w:tc>
        <w:tc>
          <w:tcPr>
            <w:tcW w:w="1115" w:type="dxa"/>
          </w:tcPr>
          <w:p>
            <w:pPr>
              <w:pStyle w:val="TableParagraph"/>
              <w:spacing w:before="1"/>
              <w:ind w:left="133" w:right="121"/>
              <w:jc w:val="center"/>
              <w:rPr>
                <w:b/>
                <w:sz w:val="20"/>
              </w:rPr>
            </w:pPr>
            <w:r>
              <w:rPr>
                <w:b/>
                <w:sz w:val="20"/>
              </w:rPr>
              <w:t>Prior Year Resources</w:t>
            </w:r>
          </w:p>
          <w:p>
            <w:pPr>
              <w:pStyle w:val="TableParagraph"/>
              <w:ind w:left="131" w:right="121"/>
              <w:jc w:val="center"/>
              <w:rPr>
                <w:b/>
                <w:sz w:val="20"/>
              </w:rPr>
            </w:pPr>
            <w:r>
              <w:rPr>
                <w:b/>
                <w:sz w:val="20"/>
              </w:rPr>
              <w:t>: $</w:t>
            </w:r>
          </w:p>
        </w:tc>
        <w:tc>
          <w:tcPr>
            <w:tcW w:w="1134" w:type="dxa"/>
          </w:tcPr>
          <w:p>
            <w:pPr>
              <w:pStyle w:val="TableParagraph"/>
              <w:spacing w:before="1"/>
              <w:ind w:left="113" w:right="103"/>
              <w:jc w:val="center"/>
              <w:rPr>
                <w:b/>
                <w:sz w:val="20"/>
              </w:rPr>
            </w:pPr>
            <w:r>
              <w:rPr>
                <w:b/>
                <w:sz w:val="20"/>
              </w:rPr>
              <w:t>Total:</w:t>
            </w:r>
          </w:p>
          <w:p>
            <w:pPr>
              <w:pStyle w:val="TableParagraph"/>
              <w:ind w:left="10"/>
              <w:jc w:val="center"/>
              <w:rPr>
                <w:b/>
                <w:sz w:val="20"/>
              </w:rPr>
            </w:pPr>
            <w:r>
              <w:rPr>
                <w:b/>
                <w:sz w:val="20"/>
              </w:rPr>
              <w:t>$</w:t>
            </w:r>
          </w:p>
        </w:tc>
        <w:tc>
          <w:tcPr>
            <w:tcW w:w="1318" w:type="dxa"/>
            <w:vMerge/>
            <w:tcBorders>
              <w:top w:val="nil"/>
            </w:tcBorders>
          </w:tcPr>
          <w:p>
            <w:pPr>
              <w:rPr>
                <w:sz w:val="2"/>
                <w:szCs w:val="2"/>
              </w:rPr>
            </w:pPr>
          </w:p>
        </w:tc>
        <w:tc>
          <w:tcPr>
            <w:tcW w:w="1537" w:type="dxa"/>
            <w:vMerge/>
            <w:tcBorders>
              <w:top w:val="nil"/>
            </w:tcBorders>
          </w:tcPr>
          <w:p>
            <w:pPr>
              <w:rPr>
                <w:sz w:val="2"/>
                <w:szCs w:val="2"/>
              </w:rPr>
            </w:pPr>
          </w:p>
        </w:tc>
      </w:tr>
      <w:tr>
        <w:trPr>
          <w:trHeight w:val="556" w:hRule="atLeast"/>
        </w:trPr>
        <w:tc>
          <w:tcPr>
            <w:tcW w:w="929" w:type="dxa"/>
            <w:tcBorders>
              <w:bottom w:val="nil"/>
            </w:tcBorders>
          </w:tcPr>
          <w:p>
            <w:pPr>
              <w:pStyle w:val="TableParagraph"/>
              <w:spacing w:line="250" w:lineRule="exact"/>
              <w:ind w:left="144"/>
              <w:rPr>
                <w:rFonts w:ascii="Arial"/>
                <w:sz w:val="22"/>
              </w:rPr>
            </w:pPr>
            <w:r>
              <w:rPr>
                <w:rFonts w:ascii="Arial"/>
                <w:sz w:val="22"/>
              </w:rPr>
              <w:t>CDBG</w:t>
            </w:r>
          </w:p>
        </w:tc>
        <w:tc>
          <w:tcPr>
            <w:tcW w:w="962" w:type="dxa"/>
            <w:tcBorders>
              <w:bottom w:val="nil"/>
            </w:tcBorders>
          </w:tcPr>
          <w:p>
            <w:pPr>
              <w:pStyle w:val="TableParagraph"/>
              <w:ind w:left="454" w:right="100" w:hanging="325"/>
              <w:rPr>
                <w:rFonts w:ascii="Arial"/>
                <w:sz w:val="22"/>
              </w:rPr>
            </w:pPr>
            <w:r>
              <w:rPr>
                <w:rFonts w:ascii="Arial"/>
                <w:sz w:val="22"/>
              </w:rPr>
              <w:t>Federa l</w:t>
            </w:r>
          </w:p>
        </w:tc>
        <w:tc>
          <w:tcPr>
            <w:tcW w:w="1513" w:type="dxa"/>
            <w:tcBorders>
              <w:bottom w:val="nil"/>
            </w:tcBorders>
          </w:tcPr>
          <w:p>
            <w:pPr>
              <w:pStyle w:val="TableParagraph"/>
              <w:spacing w:line="250" w:lineRule="exact"/>
              <w:ind w:left="222"/>
              <w:rPr>
                <w:rFonts w:ascii="Arial"/>
                <w:sz w:val="22"/>
              </w:rPr>
            </w:pPr>
            <w:r>
              <w:rPr>
                <w:rFonts w:ascii="Arial"/>
                <w:sz w:val="22"/>
              </w:rPr>
              <w:t>Acquisition</w:t>
            </w:r>
          </w:p>
          <w:p>
            <w:pPr>
              <w:pStyle w:val="TableParagraph"/>
              <w:spacing w:line="248" w:lineRule="exact" w:before="38"/>
              <w:ind w:left="338"/>
              <w:rPr>
                <w:rFonts w:ascii="Arial"/>
                <w:sz w:val="22"/>
              </w:rPr>
            </w:pPr>
            <w:r>
              <w:rPr>
                <w:rFonts w:ascii="Arial"/>
                <w:sz w:val="22"/>
              </w:rPr>
              <w:t>Admin &amp;</w:t>
            </w:r>
          </w:p>
        </w:tc>
        <w:tc>
          <w:tcPr>
            <w:tcW w:w="1134" w:type="dxa"/>
            <w:tcBorders>
              <w:bottom w:val="nil"/>
            </w:tcBorders>
          </w:tcPr>
          <w:p>
            <w:pPr>
              <w:pStyle w:val="TableParagraph"/>
              <w:ind w:left="503" w:right="137" w:hanging="337"/>
              <w:rPr>
                <w:rFonts w:ascii="Arial"/>
                <w:sz w:val="22"/>
              </w:rPr>
            </w:pPr>
            <w:r>
              <w:rPr>
                <w:rFonts w:ascii="Arial"/>
                <w:sz w:val="22"/>
              </w:rPr>
              <w:t>$778,29 3</w:t>
            </w:r>
          </w:p>
        </w:tc>
        <w:tc>
          <w:tcPr>
            <w:tcW w:w="929" w:type="dxa"/>
            <w:tcBorders>
              <w:bottom w:val="nil"/>
            </w:tcBorders>
          </w:tcPr>
          <w:p>
            <w:pPr>
              <w:pStyle w:val="TableParagraph"/>
              <w:spacing w:line="250" w:lineRule="exact"/>
              <w:ind w:left="9"/>
              <w:jc w:val="center"/>
              <w:rPr>
                <w:rFonts w:ascii="Arial"/>
                <w:sz w:val="22"/>
              </w:rPr>
            </w:pPr>
            <w:r>
              <w:rPr>
                <w:rFonts w:ascii="Arial"/>
                <w:sz w:val="22"/>
              </w:rPr>
              <w:t>0</w:t>
            </w:r>
          </w:p>
        </w:tc>
        <w:tc>
          <w:tcPr>
            <w:tcW w:w="1115" w:type="dxa"/>
            <w:tcBorders>
              <w:bottom w:val="nil"/>
            </w:tcBorders>
          </w:tcPr>
          <w:p>
            <w:pPr>
              <w:pStyle w:val="TableParagraph"/>
              <w:ind w:left="340" w:right="128" w:hanging="184"/>
              <w:rPr>
                <w:rFonts w:ascii="Arial"/>
                <w:sz w:val="22"/>
              </w:rPr>
            </w:pPr>
            <w:r>
              <w:rPr>
                <w:rFonts w:ascii="Arial"/>
                <w:sz w:val="22"/>
              </w:rPr>
              <w:t>$111,34 2.50</w:t>
            </w:r>
          </w:p>
        </w:tc>
        <w:tc>
          <w:tcPr>
            <w:tcW w:w="1134" w:type="dxa"/>
            <w:tcBorders>
              <w:bottom w:val="nil"/>
            </w:tcBorders>
          </w:tcPr>
          <w:p>
            <w:pPr>
              <w:pStyle w:val="TableParagraph"/>
              <w:ind w:left="350" w:right="137" w:hanging="184"/>
              <w:rPr>
                <w:rFonts w:ascii="Arial"/>
                <w:sz w:val="22"/>
              </w:rPr>
            </w:pPr>
            <w:r>
              <w:rPr>
                <w:rFonts w:ascii="Arial"/>
                <w:sz w:val="22"/>
              </w:rPr>
              <w:t>$889,63 5.50</w:t>
            </w:r>
          </w:p>
        </w:tc>
        <w:tc>
          <w:tcPr>
            <w:tcW w:w="1318" w:type="dxa"/>
            <w:tcBorders>
              <w:bottom w:val="nil"/>
            </w:tcBorders>
          </w:tcPr>
          <w:p>
            <w:pPr>
              <w:pStyle w:val="TableParagraph"/>
              <w:ind w:left="595" w:right="138" w:hanging="429"/>
              <w:rPr>
                <w:rFonts w:ascii="Arial"/>
                <w:sz w:val="22"/>
              </w:rPr>
            </w:pPr>
            <w:r>
              <w:rPr>
                <w:rFonts w:ascii="Arial"/>
                <w:sz w:val="22"/>
              </w:rPr>
              <w:t>$3,200,00 0</w:t>
            </w:r>
          </w:p>
        </w:tc>
        <w:tc>
          <w:tcPr>
            <w:tcW w:w="1537" w:type="dxa"/>
            <w:vMerge w:val="restart"/>
          </w:tcPr>
          <w:p>
            <w:pPr>
              <w:pStyle w:val="TableParagraph"/>
              <w:ind w:left="148" w:right="136"/>
              <w:jc w:val="center"/>
              <w:rPr>
                <w:rFonts w:ascii="Arial"/>
                <w:sz w:val="22"/>
              </w:rPr>
            </w:pPr>
            <w:r>
              <w:rPr>
                <w:rFonts w:ascii="Arial"/>
                <w:sz w:val="22"/>
              </w:rPr>
              <w:t>The expected amount for the   remainder of the ConPlan is four times the first-year allocation.</w:t>
            </w: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5"/>
              <w:jc w:val="center"/>
              <w:rPr>
                <w:rFonts w:ascii="Arial"/>
                <w:sz w:val="22"/>
              </w:rPr>
            </w:pPr>
            <w:r>
              <w:rPr>
                <w:rFonts w:ascii="Arial"/>
                <w:sz w:val="22"/>
              </w:rPr>
              <w:t>Planning</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5"/>
              <w:jc w:val="center"/>
              <w:rPr>
                <w:rFonts w:ascii="Arial"/>
                <w:sz w:val="22"/>
              </w:rPr>
            </w:pPr>
            <w:r>
              <w:rPr>
                <w:rFonts w:ascii="Arial"/>
                <w:sz w:val="22"/>
              </w:rPr>
              <w:t>Econ</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6"/>
              <w:jc w:val="center"/>
              <w:rPr>
                <w:rFonts w:ascii="Arial"/>
                <w:sz w:val="22"/>
              </w:rPr>
            </w:pPr>
            <w:r>
              <w:rPr>
                <w:rFonts w:ascii="Arial"/>
                <w:sz w:val="22"/>
              </w:rPr>
              <w:t>Developmen</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9"/>
              <w:jc w:val="center"/>
              <w:rPr>
                <w:rFonts w:ascii="Arial"/>
                <w:sz w:val="22"/>
              </w:rPr>
            </w:pPr>
            <w:r>
              <w:rPr>
                <w:rFonts w:ascii="Arial"/>
                <w:sz w:val="22"/>
              </w:rPr>
              <w:t>t</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6"/>
              <w:jc w:val="center"/>
              <w:rPr>
                <w:rFonts w:ascii="Arial"/>
                <w:sz w:val="22"/>
              </w:rPr>
            </w:pPr>
            <w:r>
              <w:rPr>
                <w:rFonts w:ascii="Arial"/>
                <w:sz w:val="22"/>
              </w:rPr>
              <w:t>Housing</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5"/>
              <w:jc w:val="center"/>
              <w:rPr>
                <w:rFonts w:ascii="Arial"/>
                <w:sz w:val="22"/>
              </w:rPr>
            </w:pPr>
            <w:r>
              <w:rPr>
                <w:rFonts w:ascii="Arial"/>
                <w:sz w:val="22"/>
              </w:rPr>
              <w:t>Public</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275"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line="248" w:lineRule="exact" w:before="8"/>
              <w:ind w:left="115" w:right="105"/>
              <w:jc w:val="center"/>
              <w:rPr>
                <w:rFonts w:ascii="Arial"/>
                <w:sz w:val="22"/>
              </w:rPr>
            </w:pPr>
            <w:r>
              <w:rPr>
                <w:rFonts w:ascii="Arial"/>
                <w:sz w:val="22"/>
              </w:rPr>
              <w:t>Improve.</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vMerge/>
            <w:tcBorders>
              <w:top w:val="nil"/>
            </w:tcBorders>
          </w:tcPr>
          <w:p>
            <w:pPr>
              <w:rPr>
                <w:sz w:val="2"/>
                <w:szCs w:val="2"/>
              </w:rPr>
            </w:pPr>
          </w:p>
        </w:tc>
      </w:tr>
      <w:tr>
        <w:trPr>
          <w:trHeight w:val="511" w:hRule="atLeast"/>
        </w:trPr>
        <w:tc>
          <w:tcPr>
            <w:tcW w:w="929" w:type="dxa"/>
            <w:tcBorders>
              <w:top w:val="nil"/>
            </w:tcBorders>
          </w:tcPr>
          <w:p>
            <w:pPr>
              <w:pStyle w:val="TableParagraph"/>
              <w:rPr>
                <w:rFonts w:ascii="Times New Roman"/>
                <w:sz w:val="22"/>
              </w:rPr>
            </w:pPr>
          </w:p>
        </w:tc>
        <w:tc>
          <w:tcPr>
            <w:tcW w:w="962" w:type="dxa"/>
            <w:tcBorders>
              <w:top w:val="nil"/>
            </w:tcBorders>
          </w:tcPr>
          <w:p>
            <w:pPr>
              <w:pStyle w:val="TableParagraph"/>
              <w:rPr>
                <w:rFonts w:ascii="Times New Roman"/>
                <w:sz w:val="22"/>
              </w:rPr>
            </w:pPr>
          </w:p>
        </w:tc>
        <w:tc>
          <w:tcPr>
            <w:tcW w:w="1513" w:type="dxa"/>
            <w:tcBorders>
              <w:top w:val="nil"/>
            </w:tcBorders>
          </w:tcPr>
          <w:p>
            <w:pPr>
              <w:pStyle w:val="TableParagraph"/>
              <w:spacing w:line="250" w:lineRule="atLeast" w:before="8"/>
              <w:ind w:left="332" w:right="302" w:firstLine="122"/>
              <w:rPr>
                <w:rFonts w:ascii="Arial"/>
                <w:sz w:val="22"/>
              </w:rPr>
            </w:pPr>
            <w:r>
              <w:rPr>
                <w:rFonts w:ascii="Arial"/>
                <w:sz w:val="22"/>
              </w:rPr>
              <w:t>Public Services</w:t>
            </w:r>
          </w:p>
        </w:tc>
        <w:tc>
          <w:tcPr>
            <w:tcW w:w="1134" w:type="dxa"/>
            <w:tcBorders>
              <w:top w:val="nil"/>
            </w:tcBorders>
          </w:tcPr>
          <w:p>
            <w:pPr>
              <w:pStyle w:val="TableParagraph"/>
              <w:rPr>
                <w:rFonts w:ascii="Times New Roman"/>
                <w:sz w:val="22"/>
              </w:rPr>
            </w:pPr>
          </w:p>
        </w:tc>
        <w:tc>
          <w:tcPr>
            <w:tcW w:w="929" w:type="dxa"/>
            <w:tcBorders>
              <w:top w:val="nil"/>
            </w:tcBorders>
          </w:tcPr>
          <w:p>
            <w:pPr>
              <w:pStyle w:val="TableParagraph"/>
              <w:rPr>
                <w:rFonts w:ascii="Times New Roman"/>
                <w:sz w:val="22"/>
              </w:rPr>
            </w:pPr>
          </w:p>
        </w:tc>
        <w:tc>
          <w:tcPr>
            <w:tcW w:w="1115" w:type="dxa"/>
            <w:tcBorders>
              <w:top w:val="nil"/>
            </w:tcBorders>
          </w:tcPr>
          <w:p>
            <w:pPr>
              <w:pStyle w:val="TableParagraph"/>
              <w:rPr>
                <w:rFonts w:ascii="Times New Roman"/>
                <w:sz w:val="22"/>
              </w:rPr>
            </w:pPr>
          </w:p>
        </w:tc>
        <w:tc>
          <w:tcPr>
            <w:tcW w:w="1134" w:type="dxa"/>
            <w:tcBorders>
              <w:top w:val="nil"/>
            </w:tcBorders>
          </w:tcPr>
          <w:p>
            <w:pPr>
              <w:pStyle w:val="TableParagraph"/>
              <w:rPr>
                <w:rFonts w:ascii="Times New Roman"/>
                <w:sz w:val="22"/>
              </w:rPr>
            </w:pPr>
          </w:p>
        </w:tc>
        <w:tc>
          <w:tcPr>
            <w:tcW w:w="1318" w:type="dxa"/>
            <w:tcBorders>
              <w:top w:val="nil"/>
            </w:tcBorders>
          </w:tcPr>
          <w:p>
            <w:pPr>
              <w:pStyle w:val="TableParagraph"/>
              <w:rPr>
                <w:rFonts w:ascii="Times New Roman"/>
                <w:sz w:val="22"/>
              </w:rPr>
            </w:pPr>
          </w:p>
        </w:tc>
        <w:tc>
          <w:tcPr>
            <w:tcW w:w="1537" w:type="dxa"/>
            <w:vMerge/>
            <w:tcBorders>
              <w:top w:val="nil"/>
            </w:tcBorders>
          </w:tcPr>
          <w:p>
            <w:pPr>
              <w:rPr>
                <w:sz w:val="2"/>
                <w:szCs w:val="2"/>
              </w:rPr>
            </w:pPr>
          </w:p>
        </w:tc>
      </w:tr>
    </w:tbl>
    <w:p>
      <w:pPr>
        <w:spacing w:after="0"/>
        <w:rPr>
          <w:sz w:val="2"/>
          <w:szCs w:val="2"/>
        </w:rPr>
        <w:sectPr>
          <w:headerReference w:type="default" r:id="rId153"/>
          <w:footerReference w:type="default" r:id="rId154"/>
          <w:pgSz w:w="15840" w:h="12240" w:orient="landscape"/>
          <w:pgMar w:header="0" w:footer="1072" w:top="1140" w:bottom="1260" w:left="1220" w:right="560"/>
        </w:sectPr>
      </w:pPr>
    </w:p>
    <w:p>
      <w:pPr>
        <w:pStyle w:val="BodyText"/>
        <w:spacing w:before="2"/>
        <w:rPr>
          <w:b/>
          <w:sz w:val="24"/>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29"/>
        <w:gridCol w:w="962"/>
        <w:gridCol w:w="1513"/>
        <w:gridCol w:w="1134"/>
        <w:gridCol w:w="929"/>
        <w:gridCol w:w="1115"/>
        <w:gridCol w:w="1134"/>
        <w:gridCol w:w="1318"/>
        <w:gridCol w:w="1537"/>
      </w:tblGrid>
      <w:tr>
        <w:trPr>
          <w:trHeight w:val="1145" w:hRule="atLeast"/>
        </w:trPr>
        <w:tc>
          <w:tcPr>
            <w:tcW w:w="929" w:type="dxa"/>
            <w:tcBorders>
              <w:bottom w:val="nil"/>
            </w:tcBorders>
          </w:tcPr>
          <w:p>
            <w:pPr>
              <w:pStyle w:val="TableParagraph"/>
              <w:spacing w:line="250" w:lineRule="exact"/>
              <w:ind w:left="131"/>
              <w:rPr>
                <w:rFonts w:ascii="Arial"/>
                <w:sz w:val="22"/>
              </w:rPr>
            </w:pPr>
            <w:r>
              <w:rPr>
                <w:rFonts w:ascii="Arial"/>
                <w:sz w:val="22"/>
              </w:rPr>
              <w:t>HOME</w:t>
            </w:r>
          </w:p>
        </w:tc>
        <w:tc>
          <w:tcPr>
            <w:tcW w:w="962" w:type="dxa"/>
            <w:tcBorders>
              <w:bottom w:val="nil"/>
            </w:tcBorders>
          </w:tcPr>
          <w:p>
            <w:pPr>
              <w:pStyle w:val="TableParagraph"/>
              <w:ind w:left="454" w:right="100" w:hanging="325"/>
              <w:rPr>
                <w:rFonts w:ascii="Arial"/>
                <w:sz w:val="22"/>
              </w:rPr>
            </w:pPr>
            <w:r>
              <w:rPr>
                <w:rFonts w:ascii="Arial"/>
                <w:sz w:val="22"/>
              </w:rPr>
              <w:t>Federa l</w:t>
            </w:r>
          </w:p>
        </w:tc>
        <w:tc>
          <w:tcPr>
            <w:tcW w:w="1513" w:type="dxa"/>
            <w:tcBorders>
              <w:bottom w:val="nil"/>
            </w:tcBorders>
          </w:tcPr>
          <w:p>
            <w:pPr>
              <w:pStyle w:val="TableParagraph"/>
              <w:spacing w:line="276" w:lineRule="auto"/>
              <w:ind w:left="115" w:right="103"/>
              <w:jc w:val="center"/>
              <w:rPr>
                <w:rFonts w:ascii="Arial"/>
                <w:sz w:val="22"/>
              </w:rPr>
            </w:pPr>
            <w:r>
              <w:rPr>
                <w:rFonts w:ascii="Arial"/>
                <w:sz w:val="22"/>
              </w:rPr>
              <w:t>Acquisition Homebuyer Asst.</w:t>
            </w:r>
          </w:p>
          <w:p>
            <w:pPr>
              <w:pStyle w:val="TableParagraph"/>
              <w:ind w:left="115" w:right="105"/>
              <w:jc w:val="center"/>
              <w:rPr>
                <w:rFonts w:ascii="Arial"/>
                <w:sz w:val="22"/>
              </w:rPr>
            </w:pPr>
            <w:r>
              <w:rPr>
                <w:rFonts w:ascii="Arial"/>
                <w:sz w:val="22"/>
              </w:rPr>
              <w:t>Homeowner</w:t>
            </w:r>
          </w:p>
        </w:tc>
        <w:tc>
          <w:tcPr>
            <w:tcW w:w="1134" w:type="dxa"/>
            <w:tcBorders>
              <w:bottom w:val="nil"/>
            </w:tcBorders>
          </w:tcPr>
          <w:p>
            <w:pPr>
              <w:pStyle w:val="TableParagraph"/>
              <w:ind w:left="350" w:right="137" w:hanging="184"/>
              <w:rPr>
                <w:rFonts w:ascii="Arial"/>
                <w:sz w:val="22"/>
              </w:rPr>
            </w:pPr>
            <w:r>
              <w:rPr>
                <w:rFonts w:ascii="Arial"/>
                <w:sz w:val="22"/>
              </w:rPr>
              <w:t>$539,90 0.70</w:t>
            </w:r>
          </w:p>
        </w:tc>
        <w:tc>
          <w:tcPr>
            <w:tcW w:w="929" w:type="dxa"/>
            <w:tcBorders>
              <w:bottom w:val="nil"/>
            </w:tcBorders>
          </w:tcPr>
          <w:p>
            <w:pPr>
              <w:pStyle w:val="TableParagraph"/>
              <w:spacing w:line="250" w:lineRule="exact"/>
              <w:ind w:left="9"/>
              <w:jc w:val="center"/>
              <w:rPr>
                <w:rFonts w:ascii="Arial"/>
                <w:sz w:val="22"/>
              </w:rPr>
            </w:pPr>
            <w:r>
              <w:rPr>
                <w:rFonts w:ascii="Arial"/>
                <w:sz w:val="22"/>
              </w:rPr>
              <w:t>0</w:t>
            </w:r>
          </w:p>
        </w:tc>
        <w:tc>
          <w:tcPr>
            <w:tcW w:w="1115" w:type="dxa"/>
            <w:tcBorders>
              <w:bottom w:val="nil"/>
            </w:tcBorders>
          </w:tcPr>
          <w:p>
            <w:pPr>
              <w:pStyle w:val="TableParagraph"/>
              <w:spacing w:line="250" w:lineRule="exact"/>
              <w:ind w:left="10"/>
              <w:jc w:val="center"/>
              <w:rPr>
                <w:rFonts w:ascii="Arial"/>
                <w:sz w:val="22"/>
              </w:rPr>
            </w:pPr>
            <w:r>
              <w:rPr>
                <w:rFonts w:ascii="Arial"/>
                <w:sz w:val="22"/>
              </w:rPr>
              <w:t>0</w:t>
            </w:r>
          </w:p>
        </w:tc>
        <w:tc>
          <w:tcPr>
            <w:tcW w:w="1134" w:type="dxa"/>
            <w:tcBorders>
              <w:bottom w:val="nil"/>
            </w:tcBorders>
          </w:tcPr>
          <w:p>
            <w:pPr>
              <w:pStyle w:val="TableParagraph"/>
              <w:ind w:left="350" w:right="137" w:hanging="184"/>
              <w:rPr>
                <w:rFonts w:ascii="Arial"/>
                <w:sz w:val="22"/>
              </w:rPr>
            </w:pPr>
            <w:r>
              <w:rPr>
                <w:rFonts w:ascii="Arial"/>
                <w:sz w:val="22"/>
              </w:rPr>
              <w:t>$539,90 0.70</w:t>
            </w:r>
          </w:p>
        </w:tc>
        <w:tc>
          <w:tcPr>
            <w:tcW w:w="1318" w:type="dxa"/>
            <w:tcBorders>
              <w:bottom w:val="nil"/>
            </w:tcBorders>
          </w:tcPr>
          <w:p>
            <w:pPr>
              <w:pStyle w:val="TableParagraph"/>
              <w:ind w:left="595" w:right="138" w:hanging="429"/>
              <w:rPr>
                <w:rFonts w:ascii="Arial"/>
                <w:sz w:val="22"/>
              </w:rPr>
            </w:pPr>
            <w:r>
              <w:rPr>
                <w:rFonts w:ascii="Arial"/>
                <w:sz w:val="22"/>
              </w:rPr>
              <w:t>$2,260,00 0</w:t>
            </w:r>
          </w:p>
        </w:tc>
        <w:tc>
          <w:tcPr>
            <w:tcW w:w="1537" w:type="dxa"/>
            <w:tcBorders>
              <w:bottom w:val="nil"/>
            </w:tcBorders>
          </w:tcPr>
          <w:p>
            <w:pPr>
              <w:pStyle w:val="TableParagraph"/>
              <w:ind w:left="136" w:right="124"/>
              <w:jc w:val="center"/>
              <w:rPr>
                <w:rFonts w:ascii="Arial"/>
                <w:sz w:val="22"/>
              </w:rPr>
            </w:pPr>
            <w:r>
              <w:rPr>
                <w:rFonts w:ascii="Arial"/>
                <w:sz w:val="22"/>
              </w:rPr>
              <w:t>Funds for housing development</w:t>
            </w:r>
          </w:p>
          <w:p>
            <w:pPr>
              <w:pStyle w:val="TableParagraph"/>
              <w:ind w:left="9"/>
              <w:jc w:val="center"/>
              <w:rPr>
                <w:rFonts w:ascii="Arial"/>
                <w:sz w:val="22"/>
              </w:rPr>
            </w:pPr>
            <w:r>
              <w:rPr>
                <w:rFonts w:ascii="Arial"/>
                <w:sz w:val="22"/>
              </w:rPr>
              <w:t>.</w:t>
            </w: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Rehab.</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173"/>
              <w:jc w:val="right"/>
              <w:rPr>
                <w:rFonts w:ascii="Arial"/>
                <w:sz w:val="22"/>
              </w:rPr>
            </w:pPr>
            <w:r>
              <w:rPr>
                <w:rFonts w:ascii="Arial"/>
                <w:sz w:val="22"/>
              </w:rPr>
              <w:t>Rental New</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Constr.</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436"/>
              <w:rPr>
                <w:rFonts w:ascii="Arial"/>
                <w:sz w:val="22"/>
              </w:rPr>
            </w:pPr>
            <w:r>
              <w:rPr>
                <w:rFonts w:ascii="Arial"/>
                <w:sz w:val="22"/>
              </w:rPr>
              <w:t>Rental</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399"/>
              <w:rPr>
                <w:rFonts w:ascii="Arial"/>
                <w:sz w:val="22"/>
              </w:rPr>
            </w:pPr>
            <w:r>
              <w:rPr>
                <w:rFonts w:ascii="Arial"/>
                <w:sz w:val="22"/>
              </w:rPr>
              <w:t>Rehab.</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173"/>
              <w:jc w:val="right"/>
              <w:rPr>
                <w:rFonts w:ascii="Arial"/>
                <w:sz w:val="22"/>
              </w:rPr>
            </w:pPr>
            <w:r>
              <w:rPr>
                <w:rFonts w:ascii="Arial"/>
                <w:sz w:val="22"/>
              </w:rPr>
              <w:t>New Const.</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left="115" w:right="106"/>
              <w:jc w:val="center"/>
              <w:rPr>
                <w:rFonts w:ascii="Arial"/>
                <w:sz w:val="22"/>
              </w:rPr>
            </w:pPr>
            <w:r>
              <w:rPr>
                <w:rFonts w:ascii="Arial"/>
                <w:sz w:val="22"/>
              </w:rPr>
              <w:t>for</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290" w:hRule="atLeast"/>
        </w:trPr>
        <w:tc>
          <w:tcPr>
            <w:tcW w:w="929" w:type="dxa"/>
            <w:tcBorders>
              <w:top w:val="nil"/>
              <w:bottom w:val="nil"/>
            </w:tcBorders>
          </w:tcPr>
          <w:p>
            <w:pPr>
              <w:pStyle w:val="TableParagraph"/>
              <w:rPr>
                <w:rFonts w:ascii="Times New Roman"/>
                <w:sz w:val="20"/>
              </w:rPr>
            </w:pPr>
          </w:p>
        </w:tc>
        <w:tc>
          <w:tcPr>
            <w:tcW w:w="962" w:type="dxa"/>
            <w:tcBorders>
              <w:top w:val="nil"/>
              <w:bottom w:val="nil"/>
            </w:tcBorders>
          </w:tcPr>
          <w:p>
            <w:pPr>
              <w:pStyle w:val="TableParagraph"/>
              <w:rPr>
                <w:rFonts w:ascii="Times New Roman"/>
                <w:sz w:val="20"/>
              </w:rPr>
            </w:pPr>
          </w:p>
        </w:tc>
        <w:tc>
          <w:tcPr>
            <w:tcW w:w="1513" w:type="dxa"/>
            <w:tcBorders>
              <w:top w:val="nil"/>
              <w:bottom w:val="nil"/>
            </w:tcBorders>
          </w:tcPr>
          <w:p>
            <w:pPr>
              <w:pStyle w:val="TableParagraph"/>
              <w:spacing w:before="15"/>
              <w:ind w:right="216"/>
              <w:jc w:val="right"/>
              <w:rPr>
                <w:rFonts w:ascii="Arial"/>
                <w:sz w:val="22"/>
              </w:rPr>
            </w:pPr>
            <w:r>
              <w:rPr>
                <w:rFonts w:ascii="Arial"/>
                <w:sz w:val="22"/>
              </w:rPr>
              <w:t>Ownership</w:t>
            </w:r>
          </w:p>
        </w:tc>
        <w:tc>
          <w:tcPr>
            <w:tcW w:w="1134" w:type="dxa"/>
            <w:tcBorders>
              <w:top w:val="nil"/>
              <w:bottom w:val="nil"/>
            </w:tcBorders>
          </w:tcPr>
          <w:p>
            <w:pPr>
              <w:pStyle w:val="TableParagraph"/>
              <w:rPr>
                <w:rFonts w:ascii="Times New Roman"/>
                <w:sz w:val="20"/>
              </w:rPr>
            </w:pPr>
          </w:p>
        </w:tc>
        <w:tc>
          <w:tcPr>
            <w:tcW w:w="929" w:type="dxa"/>
            <w:tcBorders>
              <w:top w:val="nil"/>
              <w:bottom w:val="nil"/>
            </w:tcBorders>
          </w:tcPr>
          <w:p>
            <w:pPr>
              <w:pStyle w:val="TableParagraph"/>
              <w:rPr>
                <w:rFonts w:ascii="Times New Roman"/>
                <w:sz w:val="20"/>
              </w:rPr>
            </w:pPr>
          </w:p>
        </w:tc>
        <w:tc>
          <w:tcPr>
            <w:tcW w:w="1115" w:type="dxa"/>
            <w:tcBorders>
              <w:top w:val="nil"/>
              <w:bottom w:val="nil"/>
            </w:tcBorders>
          </w:tcPr>
          <w:p>
            <w:pPr>
              <w:pStyle w:val="TableParagraph"/>
              <w:rPr>
                <w:rFonts w:ascii="Times New Roman"/>
                <w:sz w:val="20"/>
              </w:rPr>
            </w:pPr>
          </w:p>
        </w:tc>
        <w:tc>
          <w:tcPr>
            <w:tcW w:w="1134" w:type="dxa"/>
            <w:tcBorders>
              <w:top w:val="nil"/>
              <w:bottom w:val="nil"/>
            </w:tcBorders>
          </w:tcPr>
          <w:p>
            <w:pPr>
              <w:pStyle w:val="TableParagraph"/>
              <w:rPr>
                <w:rFonts w:ascii="Times New Roman"/>
                <w:sz w:val="20"/>
              </w:rPr>
            </w:pPr>
          </w:p>
        </w:tc>
        <w:tc>
          <w:tcPr>
            <w:tcW w:w="1318" w:type="dxa"/>
            <w:tcBorders>
              <w:top w:val="nil"/>
              <w:bottom w:val="nil"/>
            </w:tcBorders>
          </w:tcPr>
          <w:p>
            <w:pPr>
              <w:pStyle w:val="TableParagraph"/>
              <w:rPr>
                <w:rFonts w:ascii="Times New Roman"/>
                <w:sz w:val="20"/>
              </w:rPr>
            </w:pPr>
          </w:p>
        </w:tc>
        <w:tc>
          <w:tcPr>
            <w:tcW w:w="1537" w:type="dxa"/>
            <w:tcBorders>
              <w:top w:val="nil"/>
              <w:bottom w:val="nil"/>
            </w:tcBorders>
          </w:tcPr>
          <w:p>
            <w:pPr>
              <w:pStyle w:val="TableParagraph"/>
              <w:rPr>
                <w:rFonts w:ascii="Times New Roman"/>
                <w:sz w:val="20"/>
              </w:rPr>
            </w:pPr>
          </w:p>
        </w:tc>
      </w:tr>
      <w:tr>
        <w:trPr>
          <w:trHeight w:val="303" w:hRule="atLeast"/>
        </w:trPr>
        <w:tc>
          <w:tcPr>
            <w:tcW w:w="929" w:type="dxa"/>
            <w:tcBorders>
              <w:top w:val="nil"/>
            </w:tcBorders>
          </w:tcPr>
          <w:p>
            <w:pPr>
              <w:pStyle w:val="TableParagraph"/>
              <w:rPr>
                <w:rFonts w:ascii="Times New Roman"/>
                <w:sz w:val="20"/>
              </w:rPr>
            </w:pPr>
          </w:p>
        </w:tc>
        <w:tc>
          <w:tcPr>
            <w:tcW w:w="962" w:type="dxa"/>
            <w:tcBorders>
              <w:top w:val="nil"/>
            </w:tcBorders>
          </w:tcPr>
          <w:p>
            <w:pPr>
              <w:pStyle w:val="TableParagraph"/>
              <w:rPr>
                <w:rFonts w:ascii="Times New Roman"/>
                <w:sz w:val="20"/>
              </w:rPr>
            </w:pPr>
          </w:p>
        </w:tc>
        <w:tc>
          <w:tcPr>
            <w:tcW w:w="1513" w:type="dxa"/>
            <w:tcBorders>
              <w:top w:val="nil"/>
            </w:tcBorders>
          </w:tcPr>
          <w:p>
            <w:pPr>
              <w:pStyle w:val="TableParagraph"/>
              <w:spacing w:before="15"/>
              <w:ind w:left="460"/>
              <w:rPr>
                <w:rFonts w:ascii="Arial"/>
                <w:sz w:val="22"/>
              </w:rPr>
            </w:pPr>
            <w:r>
              <w:rPr>
                <w:rFonts w:ascii="Arial"/>
                <w:sz w:val="22"/>
              </w:rPr>
              <w:t>TBRA</w:t>
            </w:r>
          </w:p>
        </w:tc>
        <w:tc>
          <w:tcPr>
            <w:tcW w:w="1134" w:type="dxa"/>
            <w:tcBorders>
              <w:top w:val="nil"/>
            </w:tcBorders>
          </w:tcPr>
          <w:p>
            <w:pPr>
              <w:pStyle w:val="TableParagraph"/>
              <w:rPr>
                <w:rFonts w:ascii="Times New Roman"/>
                <w:sz w:val="20"/>
              </w:rPr>
            </w:pPr>
          </w:p>
        </w:tc>
        <w:tc>
          <w:tcPr>
            <w:tcW w:w="929" w:type="dxa"/>
            <w:tcBorders>
              <w:top w:val="nil"/>
            </w:tcBorders>
          </w:tcPr>
          <w:p>
            <w:pPr>
              <w:pStyle w:val="TableParagraph"/>
              <w:rPr>
                <w:rFonts w:ascii="Times New Roman"/>
                <w:sz w:val="20"/>
              </w:rPr>
            </w:pPr>
          </w:p>
        </w:tc>
        <w:tc>
          <w:tcPr>
            <w:tcW w:w="1115" w:type="dxa"/>
            <w:tcBorders>
              <w:top w:val="nil"/>
            </w:tcBorders>
          </w:tcPr>
          <w:p>
            <w:pPr>
              <w:pStyle w:val="TableParagraph"/>
              <w:rPr>
                <w:rFonts w:ascii="Times New Roman"/>
                <w:sz w:val="20"/>
              </w:rPr>
            </w:pPr>
          </w:p>
        </w:tc>
        <w:tc>
          <w:tcPr>
            <w:tcW w:w="1134" w:type="dxa"/>
            <w:tcBorders>
              <w:top w:val="nil"/>
            </w:tcBorders>
          </w:tcPr>
          <w:p>
            <w:pPr>
              <w:pStyle w:val="TableParagraph"/>
              <w:rPr>
                <w:rFonts w:ascii="Times New Roman"/>
                <w:sz w:val="20"/>
              </w:rPr>
            </w:pPr>
          </w:p>
        </w:tc>
        <w:tc>
          <w:tcPr>
            <w:tcW w:w="1318" w:type="dxa"/>
            <w:tcBorders>
              <w:top w:val="nil"/>
            </w:tcBorders>
          </w:tcPr>
          <w:p>
            <w:pPr>
              <w:pStyle w:val="TableParagraph"/>
              <w:rPr>
                <w:rFonts w:ascii="Times New Roman"/>
                <w:sz w:val="20"/>
              </w:rPr>
            </w:pPr>
          </w:p>
        </w:tc>
        <w:tc>
          <w:tcPr>
            <w:tcW w:w="1537" w:type="dxa"/>
            <w:tcBorders>
              <w:top w:val="nil"/>
            </w:tcBorders>
          </w:tcPr>
          <w:p>
            <w:pPr>
              <w:pStyle w:val="TableParagraph"/>
              <w:rPr>
                <w:rFonts w:ascii="Times New Roman"/>
                <w:sz w:val="20"/>
              </w:rPr>
            </w:pPr>
          </w:p>
        </w:tc>
      </w:tr>
    </w:tbl>
    <w:p>
      <w:pPr>
        <w:spacing w:before="0"/>
        <w:ind w:left="4566" w:right="0" w:firstLine="0"/>
        <w:jc w:val="left"/>
        <w:rPr>
          <w:rFonts w:ascii="Cambria" w:hAnsi="Cambria"/>
          <w:b/>
          <w:sz w:val="20"/>
        </w:rPr>
      </w:pPr>
      <w:r>
        <w:rPr>
          <w:rFonts w:ascii="Cambria" w:hAnsi="Cambria"/>
          <w:b/>
          <w:sz w:val="20"/>
        </w:rPr>
        <w:t>Table 59 - Expected Resources – Priority Table</w:t>
      </w:r>
    </w:p>
    <w:p>
      <w:pPr>
        <w:pStyle w:val="BodyText"/>
        <w:spacing w:before="4"/>
        <w:rPr>
          <w:rFonts w:ascii="Cambria"/>
          <w:b/>
          <w:sz w:val="25"/>
        </w:rPr>
      </w:pPr>
    </w:p>
    <w:p>
      <w:pPr>
        <w:pStyle w:val="Heading4"/>
        <w:spacing w:line="276" w:lineRule="auto"/>
        <w:ind w:right="1009"/>
      </w:pPr>
      <w:r>
        <w:rPr/>
        <w:t>Explain how federal funds will leverage those additional resources (private, state and local funds), including a description of how matching requirements will be satisfied</w:t>
      </w:r>
    </w:p>
    <w:p>
      <w:pPr>
        <w:pStyle w:val="BodyText"/>
        <w:spacing w:line="276" w:lineRule="auto" w:before="200"/>
        <w:ind w:left="220" w:right="1620"/>
      </w:pPr>
      <w:r>
        <w:rPr/>
        <w:t>Many of the City’s service providers receive funds from other sources, including Continuum of Care, local foundations, Indiana state, etc. Developers of HOME-assisted units will be required to provide the minimum 25% matching funds for projects.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5"/>
        </w:rPr>
      </w:pPr>
    </w:p>
    <w:p>
      <w:pPr>
        <w:pStyle w:val="BodyText"/>
        <w:tabs>
          <w:tab w:pos="5859" w:val="left" w:leader="none"/>
          <w:tab w:pos="11453" w:val="right" w:leader="none"/>
        </w:tabs>
        <w:spacing w:before="55"/>
        <w:ind w:left="1946"/>
      </w:pPr>
      <w:r>
        <w:rPr/>
        <w:t>Consolidated Plan</w:t>
        <w:tab/>
        <w:t>BLOOMINGTON</w:t>
        <w:tab/>
        <w:t>121</w:t>
      </w:r>
    </w:p>
    <w:p>
      <w:pPr>
        <w:spacing w:after="0"/>
        <w:sectPr>
          <w:headerReference w:type="default" r:id="rId155"/>
          <w:footerReference w:type="default" r:id="rId156"/>
          <w:pgSz w:w="15840" w:h="12240" w:orient="landscape"/>
          <w:pgMar w:header="0" w:footer="726" w:top="1140" w:bottom="920" w:left="1220" w:right="560"/>
        </w:sectPr>
      </w:pPr>
    </w:p>
    <w:p>
      <w:pPr>
        <w:pStyle w:val="Heading4"/>
        <w:spacing w:line="276" w:lineRule="auto" w:before="24"/>
        <w:ind w:left="100" w:right="311"/>
      </w:pPr>
      <w:r>
        <w:rPr/>
        <w:t>If appropriate, describe publicly owned land or property located within the jurisdiction that may be used to address the needs identified in the plan</w:t>
      </w:r>
    </w:p>
    <w:p>
      <w:pPr>
        <w:pStyle w:val="BodyText"/>
        <w:spacing w:before="11"/>
        <w:rPr>
          <w:b/>
        </w:rPr>
      </w:pPr>
    </w:p>
    <w:p>
      <w:pPr>
        <w:pStyle w:val="BodyText"/>
        <w:spacing w:line="276" w:lineRule="auto"/>
        <w:ind w:left="100" w:right="111"/>
      </w:pPr>
      <w:r>
        <w:rPr/>
        <w:t>The redevelopment of the former IU Health Bloomington Hospital location is a 24-acre site in downtown Bloomington. Ownership transferred at the beginning of 2024 and is now owned by the City of Bloomington Redevelopment Commission. A master plan released in 2021 created a vision for the site, which proposes approximately 850 units of housing of varying types. The City of Bloomington has released public offerings for proposals for one-third of the project and continues to evaluate how we can meet the community housing needs with proposals. The ultimate goal of Hopewell is to maximize affordable housing at this site.</w:t>
      </w:r>
    </w:p>
    <w:p>
      <w:pPr>
        <w:pStyle w:val="BodyText"/>
        <w:spacing w:before="11"/>
      </w:pPr>
    </w:p>
    <w:p>
      <w:pPr>
        <w:pStyle w:val="BodyText"/>
        <w:spacing w:line="276" w:lineRule="auto" w:before="1"/>
        <w:ind w:left="100" w:right="300"/>
      </w:pPr>
      <w:r>
        <w:rPr/>
        <w:t>The City of Bloomington also partnered with Summit Hill Community Development Corporation, the development arm of the Bloomington Housing Authority, to create a Community Land Trust (CLT). It is anticipated that CLT properties will be utilized to advance the City’s affordable housing goals.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headerReference w:type="default" r:id="rId157"/>
          <w:footerReference w:type="default" r:id="rId158"/>
          <w:pgSz w:w="12240" w:h="15840"/>
          <w:pgMar w:header="0" w:footer="726" w:top="1420" w:bottom="920" w:left="1340" w:right="1360"/>
        </w:sectPr>
      </w:pPr>
    </w:p>
    <w:p>
      <w:pPr>
        <w:pStyle w:val="BodyText"/>
        <w:spacing w:before="188"/>
        <w:ind w:left="116" w:right="21" w:firstLine="99"/>
      </w:pPr>
      <w:r>
        <w:rPr/>
        <w:t>Consolidated Plan</w:t>
      </w:r>
    </w:p>
    <w:p>
      <w:pPr>
        <w:pStyle w:val="BodyText"/>
        <w:tabs>
          <w:tab w:pos="5518" w:val="right" w:leader="none"/>
        </w:tabs>
        <w:spacing w:before="188"/>
        <w:ind w:left="116"/>
      </w:pPr>
      <w:r>
        <w:rPr/>
        <w:br w:type="column"/>
      </w:r>
      <w:r>
        <w:rPr/>
        <w:t>BLOOMINGTON</w:t>
        <w:tab/>
        <w:t>122</w:t>
      </w:r>
    </w:p>
    <w:p>
      <w:pPr>
        <w:spacing w:after="0"/>
        <w:sectPr>
          <w:type w:val="continuous"/>
          <w:pgSz w:w="12240" w:h="15840"/>
          <w:pgMar w:top="1340" w:bottom="1520" w:left="1340" w:right="1360"/>
          <w:cols w:num="2" w:equalWidth="0">
            <w:col w:w="1428" w:space="2399"/>
            <w:col w:w="5713"/>
          </w:cols>
        </w:sectPr>
      </w:pPr>
    </w:p>
    <w:p>
      <w:pPr>
        <w:pStyle w:val="Heading2"/>
        <w:spacing w:before="666"/>
        <w:ind w:left="4827" w:right="5486"/>
      </w:pPr>
      <w:bookmarkStart w:name="_TOC_250007" w:id="15"/>
      <w:bookmarkEnd w:id="15"/>
      <w:r>
        <w:rPr/>
        <w:t>Annual Goals and Objectives</w:t>
      </w:r>
    </w:p>
    <w:p>
      <w:pPr>
        <w:pStyle w:val="Heading3"/>
        <w:spacing w:before="731"/>
        <w:ind w:left="220"/>
      </w:pPr>
      <w:r>
        <w:rPr/>
        <w:t>AP-20 Annual Goals and Objectives</w:t>
      </w:r>
    </w:p>
    <w:p>
      <w:pPr>
        <w:pStyle w:val="Heading4"/>
        <w:spacing w:before="250"/>
      </w:pPr>
      <w:r>
        <w:rPr/>
        <w:t>Goals Summary Information</w:t>
      </w:r>
    </w:p>
    <w:p>
      <w:pPr>
        <w:pStyle w:val="BodyText"/>
        <w:spacing w:before="7" w:after="1"/>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0"/>
        <w:gridCol w:w="2481"/>
        <w:gridCol w:w="663"/>
        <w:gridCol w:w="663"/>
        <w:gridCol w:w="1760"/>
        <w:gridCol w:w="1161"/>
        <w:gridCol w:w="2602"/>
        <w:gridCol w:w="1432"/>
        <w:gridCol w:w="2260"/>
      </w:tblGrid>
      <w:tr>
        <w:trPr>
          <w:trHeight w:val="727" w:hRule="atLeast"/>
        </w:trPr>
        <w:tc>
          <w:tcPr>
            <w:tcW w:w="700" w:type="dxa"/>
          </w:tcPr>
          <w:p>
            <w:pPr>
              <w:pStyle w:val="TableParagraph"/>
              <w:spacing w:line="240" w:lineRule="atLeast" w:before="1"/>
              <w:ind w:left="140" w:right="128"/>
              <w:jc w:val="center"/>
              <w:rPr>
                <w:b/>
                <w:sz w:val="20"/>
              </w:rPr>
            </w:pPr>
            <w:r>
              <w:rPr>
                <w:b/>
                <w:sz w:val="20"/>
              </w:rPr>
              <w:t>Sort Orde r</w:t>
            </w:r>
          </w:p>
        </w:tc>
        <w:tc>
          <w:tcPr>
            <w:tcW w:w="2481" w:type="dxa"/>
          </w:tcPr>
          <w:p>
            <w:pPr>
              <w:pStyle w:val="TableParagraph"/>
              <w:spacing w:before="1"/>
              <w:ind w:left="777"/>
              <w:rPr>
                <w:b/>
                <w:sz w:val="20"/>
              </w:rPr>
            </w:pPr>
            <w:r>
              <w:rPr>
                <w:b/>
                <w:sz w:val="20"/>
              </w:rPr>
              <w:t>Goal Name</w:t>
            </w:r>
          </w:p>
        </w:tc>
        <w:tc>
          <w:tcPr>
            <w:tcW w:w="663" w:type="dxa"/>
          </w:tcPr>
          <w:p>
            <w:pPr>
              <w:pStyle w:val="TableParagraph"/>
              <w:spacing w:before="1"/>
              <w:ind w:left="141" w:right="98" w:hanging="15"/>
              <w:rPr>
                <w:b/>
                <w:sz w:val="20"/>
              </w:rPr>
            </w:pPr>
            <w:r>
              <w:rPr>
                <w:b/>
                <w:sz w:val="20"/>
              </w:rPr>
              <w:t>Start Year</w:t>
            </w:r>
          </w:p>
        </w:tc>
        <w:tc>
          <w:tcPr>
            <w:tcW w:w="663" w:type="dxa"/>
          </w:tcPr>
          <w:p>
            <w:pPr>
              <w:pStyle w:val="TableParagraph"/>
              <w:spacing w:before="1"/>
              <w:ind w:left="141" w:right="112" w:firstLine="31"/>
              <w:rPr>
                <w:b/>
                <w:sz w:val="20"/>
              </w:rPr>
            </w:pPr>
            <w:r>
              <w:rPr>
                <w:b/>
                <w:sz w:val="20"/>
              </w:rPr>
              <w:t>End Year</w:t>
            </w:r>
          </w:p>
        </w:tc>
        <w:tc>
          <w:tcPr>
            <w:tcW w:w="1760" w:type="dxa"/>
          </w:tcPr>
          <w:p>
            <w:pPr>
              <w:pStyle w:val="TableParagraph"/>
              <w:spacing w:before="1"/>
              <w:ind w:right="494"/>
              <w:jc w:val="right"/>
              <w:rPr>
                <w:b/>
                <w:sz w:val="20"/>
              </w:rPr>
            </w:pPr>
            <w:r>
              <w:rPr>
                <w:b/>
                <w:sz w:val="20"/>
              </w:rPr>
              <w:t>Category</w:t>
            </w:r>
          </w:p>
        </w:tc>
        <w:tc>
          <w:tcPr>
            <w:tcW w:w="1161" w:type="dxa"/>
          </w:tcPr>
          <w:p>
            <w:pPr>
              <w:pStyle w:val="TableParagraph"/>
              <w:spacing w:before="1"/>
              <w:ind w:left="317" w:right="116" w:hanging="172"/>
              <w:rPr>
                <w:b/>
                <w:sz w:val="20"/>
              </w:rPr>
            </w:pPr>
            <w:r>
              <w:rPr>
                <w:b/>
                <w:sz w:val="20"/>
              </w:rPr>
              <w:t>Geographi c Area</w:t>
            </w:r>
          </w:p>
        </w:tc>
        <w:tc>
          <w:tcPr>
            <w:tcW w:w="2602" w:type="dxa"/>
          </w:tcPr>
          <w:p>
            <w:pPr>
              <w:pStyle w:val="TableParagraph"/>
              <w:spacing w:before="1"/>
              <w:ind w:left="578"/>
              <w:rPr>
                <w:b/>
                <w:sz w:val="20"/>
              </w:rPr>
            </w:pPr>
            <w:r>
              <w:rPr>
                <w:b/>
                <w:sz w:val="20"/>
              </w:rPr>
              <w:t>Needs Addressed</w:t>
            </w:r>
          </w:p>
        </w:tc>
        <w:tc>
          <w:tcPr>
            <w:tcW w:w="1432" w:type="dxa"/>
          </w:tcPr>
          <w:p>
            <w:pPr>
              <w:pStyle w:val="TableParagraph"/>
              <w:spacing w:before="1"/>
              <w:ind w:left="380"/>
              <w:rPr>
                <w:b/>
                <w:sz w:val="20"/>
              </w:rPr>
            </w:pPr>
            <w:r>
              <w:rPr>
                <w:b/>
                <w:sz w:val="20"/>
              </w:rPr>
              <w:t>Funding</w:t>
            </w:r>
          </w:p>
        </w:tc>
        <w:tc>
          <w:tcPr>
            <w:tcW w:w="2260" w:type="dxa"/>
          </w:tcPr>
          <w:p>
            <w:pPr>
              <w:pStyle w:val="TableParagraph"/>
              <w:spacing w:before="1"/>
              <w:ind w:left="133"/>
              <w:rPr>
                <w:b/>
                <w:sz w:val="20"/>
              </w:rPr>
            </w:pPr>
            <w:r>
              <w:rPr>
                <w:b/>
                <w:sz w:val="20"/>
              </w:rPr>
              <w:t>Goal Outcome Indicator</w:t>
            </w:r>
          </w:p>
        </w:tc>
      </w:tr>
      <w:tr>
        <w:trPr>
          <w:trHeight w:val="900" w:hRule="atLeast"/>
        </w:trPr>
        <w:tc>
          <w:tcPr>
            <w:tcW w:w="700" w:type="dxa"/>
            <w:tcBorders>
              <w:bottom w:val="nil"/>
            </w:tcBorders>
          </w:tcPr>
          <w:p>
            <w:pPr>
              <w:pStyle w:val="TableParagraph"/>
              <w:spacing w:line="264" w:lineRule="exact"/>
              <w:ind w:left="112"/>
              <w:rPr>
                <w:b/>
                <w:sz w:val="22"/>
              </w:rPr>
            </w:pPr>
            <w:r>
              <w:rPr>
                <w:b/>
                <w:sz w:val="22"/>
              </w:rPr>
              <w:t>1</w:t>
            </w:r>
          </w:p>
        </w:tc>
        <w:tc>
          <w:tcPr>
            <w:tcW w:w="2481" w:type="dxa"/>
            <w:tcBorders>
              <w:bottom w:val="nil"/>
            </w:tcBorders>
          </w:tcPr>
          <w:p>
            <w:pPr>
              <w:pStyle w:val="TableParagraph"/>
              <w:spacing w:line="276" w:lineRule="auto"/>
              <w:ind w:left="112" w:right="312"/>
              <w:rPr>
                <w:sz w:val="22"/>
              </w:rPr>
            </w:pPr>
            <w:r>
              <w:rPr>
                <w:sz w:val="22"/>
              </w:rPr>
              <w:t>Increase Access to and Quality of Affordable</w:t>
            </w:r>
          </w:p>
          <w:p>
            <w:pPr>
              <w:pStyle w:val="TableParagraph"/>
              <w:spacing w:line="267" w:lineRule="exact"/>
              <w:ind w:left="112"/>
              <w:rPr>
                <w:sz w:val="22"/>
              </w:rPr>
            </w:pPr>
            <w:r>
              <w:rPr>
                <w:sz w:val="22"/>
              </w:rPr>
              <w:t>Rental Housing</w:t>
            </w:r>
          </w:p>
        </w:tc>
        <w:tc>
          <w:tcPr>
            <w:tcW w:w="663" w:type="dxa"/>
            <w:tcBorders>
              <w:bottom w:val="nil"/>
            </w:tcBorders>
          </w:tcPr>
          <w:p>
            <w:pPr>
              <w:pStyle w:val="TableParagraph"/>
              <w:spacing w:line="264" w:lineRule="exact"/>
              <w:ind w:right="100"/>
              <w:jc w:val="right"/>
              <w:rPr>
                <w:sz w:val="22"/>
              </w:rPr>
            </w:pPr>
            <w:r>
              <w:rPr>
                <w:sz w:val="22"/>
              </w:rPr>
              <w:t>202</w:t>
            </w:r>
          </w:p>
          <w:p>
            <w:pPr>
              <w:pStyle w:val="TableParagraph"/>
              <w:spacing w:before="40"/>
              <w:ind w:right="100"/>
              <w:jc w:val="right"/>
              <w:rPr>
                <w:sz w:val="22"/>
              </w:rPr>
            </w:pPr>
            <w:r>
              <w:rPr>
                <w:sz w:val="22"/>
              </w:rPr>
              <w:t>5</w:t>
            </w:r>
          </w:p>
        </w:tc>
        <w:tc>
          <w:tcPr>
            <w:tcW w:w="663" w:type="dxa"/>
            <w:tcBorders>
              <w:bottom w:val="nil"/>
            </w:tcBorders>
          </w:tcPr>
          <w:p>
            <w:pPr>
              <w:pStyle w:val="TableParagraph"/>
              <w:spacing w:line="264" w:lineRule="exact"/>
              <w:ind w:right="100"/>
              <w:jc w:val="right"/>
              <w:rPr>
                <w:sz w:val="22"/>
              </w:rPr>
            </w:pPr>
            <w:r>
              <w:rPr>
                <w:sz w:val="22"/>
              </w:rPr>
              <w:t>202</w:t>
            </w:r>
          </w:p>
          <w:p>
            <w:pPr>
              <w:pStyle w:val="TableParagraph"/>
              <w:spacing w:before="40"/>
              <w:ind w:right="100"/>
              <w:jc w:val="right"/>
              <w:rPr>
                <w:sz w:val="22"/>
              </w:rPr>
            </w:pPr>
            <w:r>
              <w:rPr>
                <w:sz w:val="22"/>
              </w:rPr>
              <w:t>9</w:t>
            </w:r>
          </w:p>
        </w:tc>
        <w:tc>
          <w:tcPr>
            <w:tcW w:w="1760" w:type="dxa"/>
            <w:tcBorders>
              <w:bottom w:val="nil"/>
            </w:tcBorders>
          </w:tcPr>
          <w:p>
            <w:pPr>
              <w:pStyle w:val="TableParagraph"/>
              <w:spacing w:line="276" w:lineRule="auto"/>
              <w:ind w:left="112" w:right="662"/>
              <w:rPr>
                <w:sz w:val="22"/>
              </w:rPr>
            </w:pPr>
            <w:r>
              <w:rPr>
                <w:sz w:val="22"/>
              </w:rPr>
              <w:t>Affordable Housing</w:t>
            </w:r>
          </w:p>
        </w:tc>
        <w:tc>
          <w:tcPr>
            <w:tcW w:w="1161" w:type="dxa"/>
            <w:vMerge w:val="restart"/>
          </w:tcPr>
          <w:p>
            <w:pPr>
              <w:pStyle w:val="TableParagraph"/>
              <w:rPr>
                <w:rFonts w:ascii="Times New Roman"/>
                <w:sz w:val="22"/>
              </w:rPr>
            </w:pPr>
          </w:p>
        </w:tc>
        <w:tc>
          <w:tcPr>
            <w:tcW w:w="2602" w:type="dxa"/>
            <w:tcBorders>
              <w:bottom w:val="nil"/>
            </w:tcBorders>
          </w:tcPr>
          <w:p>
            <w:pPr>
              <w:pStyle w:val="TableParagraph"/>
              <w:spacing w:line="276" w:lineRule="auto"/>
              <w:ind w:left="112" w:right="433"/>
              <w:rPr>
                <w:sz w:val="22"/>
              </w:rPr>
            </w:pPr>
            <w:r>
              <w:rPr>
                <w:sz w:val="22"/>
              </w:rPr>
              <w:t>Increase Access to and Quality of Affordable</w:t>
            </w:r>
          </w:p>
          <w:p>
            <w:pPr>
              <w:pStyle w:val="TableParagraph"/>
              <w:spacing w:line="267" w:lineRule="exact"/>
              <w:ind w:left="112"/>
              <w:rPr>
                <w:sz w:val="22"/>
              </w:rPr>
            </w:pPr>
            <w:r>
              <w:rPr>
                <w:sz w:val="22"/>
              </w:rPr>
              <w:t>Rental Housing</w:t>
            </w:r>
          </w:p>
        </w:tc>
        <w:tc>
          <w:tcPr>
            <w:tcW w:w="1432" w:type="dxa"/>
            <w:tcBorders>
              <w:bottom w:val="nil"/>
            </w:tcBorders>
          </w:tcPr>
          <w:p>
            <w:pPr>
              <w:pStyle w:val="TableParagraph"/>
              <w:spacing w:line="264" w:lineRule="exact"/>
              <w:ind w:left="677"/>
              <w:rPr>
                <w:sz w:val="22"/>
              </w:rPr>
            </w:pPr>
            <w:r>
              <w:rPr>
                <w:sz w:val="22"/>
              </w:rPr>
              <w:t>HOME:</w:t>
            </w:r>
          </w:p>
          <w:p>
            <w:pPr>
              <w:pStyle w:val="TableParagraph"/>
              <w:spacing w:before="40"/>
              <w:ind w:left="200"/>
              <w:rPr>
                <w:sz w:val="22"/>
              </w:rPr>
            </w:pPr>
            <w:r>
              <w:rPr>
                <w:sz w:val="22"/>
              </w:rPr>
              <w:t>$485,910.63</w:t>
            </w:r>
          </w:p>
        </w:tc>
        <w:tc>
          <w:tcPr>
            <w:tcW w:w="2260" w:type="dxa"/>
            <w:tcBorders>
              <w:bottom w:val="nil"/>
            </w:tcBorders>
          </w:tcPr>
          <w:p>
            <w:pPr>
              <w:pStyle w:val="TableParagraph"/>
              <w:spacing w:line="276" w:lineRule="auto"/>
              <w:ind w:left="112"/>
              <w:rPr>
                <w:sz w:val="22"/>
              </w:rPr>
            </w:pPr>
            <w:r>
              <w:rPr>
                <w:sz w:val="22"/>
              </w:rPr>
              <w:t>Rental Units Constructed </w:t>
            </w:r>
            <w:r>
              <w:rPr>
                <w:spacing w:val="-9"/>
                <w:sz w:val="22"/>
              </w:rPr>
              <w:t>10</w:t>
            </w:r>
          </w:p>
          <w:p>
            <w:pPr>
              <w:pStyle w:val="TableParagraph"/>
              <w:spacing w:line="267" w:lineRule="exact"/>
              <w:ind w:left="112"/>
              <w:rPr>
                <w:sz w:val="22"/>
              </w:rPr>
            </w:pPr>
            <w:r>
              <w:rPr>
                <w:sz w:val="22"/>
              </w:rPr>
              <w:t>Housing Units</w:t>
            </w:r>
          </w:p>
        </w:tc>
      </w:tr>
      <w:tr>
        <w:trPr>
          <w:trHeight w:val="1795" w:hRule="atLeast"/>
        </w:trPr>
        <w:tc>
          <w:tcPr>
            <w:tcW w:w="700" w:type="dxa"/>
            <w:tcBorders>
              <w:top w:val="nil"/>
            </w:tcBorders>
          </w:tcPr>
          <w:p>
            <w:pPr>
              <w:pStyle w:val="TableParagraph"/>
              <w:rPr>
                <w:rFonts w:ascii="Times New Roman"/>
                <w:sz w:val="22"/>
              </w:rPr>
            </w:pPr>
          </w:p>
        </w:tc>
        <w:tc>
          <w:tcPr>
            <w:tcW w:w="2481" w:type="dxa"/>
            <w:tcBorders>
              <w:top w:val="nil"/>
            </w:tcBorders>
          </w:tcPr>
          <w:p>
            <w:pPr>
              <w:pStyle w:val="TableParagraph"/>
              <w:rPr>
                <w:rFonts w:ascii="Times New Roman"/>
                <w:sz w:val="22"/>
              </w:rPr>
            </w:pPr>
          </w:p>
        </w:tc>
        <w:tc>
          <w:tcPr>
            <w:tcW w:w="663" w:type="dxa"/>
            <w:tcBorders>
              <w:top w:val="nil"/>
            </w:tcBorders>
          </w:tcPr>
          <w:p>
            <w:pPr>
              <w:pStyle w:val="TableParagraph"/>
              <w:rPr>
                <w:rFonts w:ascii="Times New Roman"/>
                <w:sz w:val="22"/>
              </w:rPr>
            </w:pPr>
          </w:p>
        </w:tc>
        <w:tc>
          <w:tcPr>
            <w:tcW w:w="663" w:type="dxa"/>
            <w:tcBorders>
              <w:top w:val="nil"/>
            </w:tcBorders>
          </w:tcPr>
          <w:p>
            <w:pPr>
              <w:pStyle w:val="TableParagraph"/>
              <w:rPr>
                <w:rFonts w:ascii="Times New Roman"/>
                <w:sz w:val="22"/>
              </w:rPr>
            </w:pPr>
          </w:p>
        </w:tc>
        <w:tc>
          <w:tcPr>
            <w:tcW w:w="1760" w:type="dxa"/>
            <w:tcBorders>
              <w:top w:val="nil"/>
            </w:tcBorders>
          </w:tcPr>
          <w:p>
            <w:pPr>
              <w:pStyle w:val="TableParagraph"/>
              <w:rPr>
                <w:rFonts w:ascii="Times New Roman"/>
                <w:sz w:val="22"/>
              </w:rPr>
            </w:pPr>
          </w:p>
        </w:tc>
        <w:tc>
          <w:tcPr>
            <w:tcW w:w="1161" w:type="dxa"/>
            <w:vMerge/>
            <w:tcBorders>
              <w:top w:val="nil"/>
            </w:tcBorders>
          </w:tcPr>
          <w:p>
            <w:pPr>
              <w:rPr>
                <w:sz w:val="2"/>
                <w:szCs w:val="2"/>
              </w:rPr>
            </w:pPr>
          </w:p>
        </w:tc>
        <w:tc>
          <w:tcPr>
            <w:tcW w:w="2602" w:type="dxa"/>
            <w:tcBorders>
              <w:top w:val="nil"/>
            </w:tcBorders>
          </w:tcPr>
          <w:p>
            <w:pPr>
              <w:pStyle w:val="TableParagraph"/>
              <w:rPr>
                <w:rFonts w:ascii="Times New Roman"/>
                <w:sz w:val="22"/>
              </w:rPr>
            </w:pPr>
          </w:p>
        </w:tc>
        <w:tc>
          <w:tcPr>
            <w:tcW w:w="1432" w:type="dxa"/>
            <w:tcBorders>
              <w:top w:val="nil"/>
            </w:tcBorders>
          </w:tcPr>
          <w:p>
            <w:pPr>
              <w:pStyle w:val="TableParagraph"/>
              <w:spacing w:line="247" w:lineRule="exact"/>
              <w:ind w:left="744"/>
              <w:rPr>
                <w:sz w:val="22"/>
              </w:rPr>
            </w:pPr>
            <w:r>
              <w:rPr>
                <w:sz w:val="22"/>
              </w:rPr>
              <w:t>CDBG:</w:t>
            </w:r>
          </w:p>
          <w:p>
            <w:pPr>
              <w:pStyle w:val="TableParagraph"/>
              <w:spacing w:before="40"/>
              <w:ind w:left="429"/>
              <w:rPr>
                <w:sz w:val="22"/>
              </w:rPr>
            </w:pPr>
            <w:r>
              <w:rPr>
                <w:sz w:val="22"/>
              </w:rPr>
              <w:t>$100,000</w:t>
            </w:r>
          </w:p>
        </w:tc>
        <w:tc>
          <w:tcPr>
            <w:tcW w:w="2260" w:type="dxa"/>
            <w:tcBorders>
              <w:top w:val="nil"/>
            </w:tcBorders>
          </w:tcPr>
          <w:p>
            <w:pPr>
              <w:pStyle w:val="TableParagraph"/>
              <w:spacing w:before="6"/>
              <w:rPr>
                <w:b/>
                <w:sz w:val="23"/>
              </w:rPr>
            </w:pPr>
          </w:p>
          <w:p>
            <w:pPr>
              <w:pStyle w:val="TableParagraph"/>
              <w:spacing w:line="276" w:lineRule="auto"/>
              <w:ind w:left="112" w:right="698"/>
              <w:rPr>
                <w:sz w:val="22"/>
              </w:rPr>
            </w:pPr>
            <w:r>
              <w:rPr>
                <w:sz w:val="22"/>
              </w:rPr>
              <w:t>Housing Units Rehabilitated: 4 Housing Units</w:t>
            </w:r>
          </w:p>
        </w:tc>
      </w:tr>
      <w:tr>
        <w:trPr>
          <w:trHeight w:val="295" w:hRule="atLeast"/>
        </w:trPr>
        <w:tc>
          <w:tcPr>
            <w:tcW w:w="700" w:type="dxa"/>
            <w:tcBorders>
              <w:bottom w:val="nil"/>
            </w:tcBorders>
          </w:tcPr>
          <w:p>
            <w:pPr>
              <w:pStyle w:val="TableParagraph"/>
              <w:spacing w:before="1"/>
              <w:ind w:left="112"/>
              <w:rPr>
                <w:b/>
                <w:sz w:val="22"/>
              </w:rPr>
            </w:pPr>
            <w:r>
              <w:rPr>
                <w:b/>
                <w:sz w:val="22"/>
              </w:rPr>
              <w:t>2</w:t>
            </w:r>
          </w:p>
        </w:tc>
        <w:tc>
          <w:tcPr>
            <w:tcW w:w="2481" w:type="dxa"/>
            <w:tcBorders>
              <w:bottom w:val="nil"/>
            </w:tcBorders>
          </w:tcPr>
          <w:p>
            <w:pPr>
              <w:pStyle w:val="TableParagraph"/>
              <w:spacing w:before="1"/>
              <w:ind w:left="112"/>
              <w:rPr>
                <w:sz w:val="22"/>
              </w:rPr>
            </w:pPr>
            <w:r>
              <w:rPr>
                <w:sz w:val="22"/>
              </w:rPr>
              <w:t>Provide Public Facilities</w:t>
            </w:r>
          </w:p>
        </w:tc>
        <w:tc>
          <w:tcPr>
            <w:tcW w:w="663" w:type="dxa"/>
            <w:tcBorders>
              <w:bottom w:val="nil"/>
            </w:tcBorders>
          </w:tcPr>
          <w:p>
            <w:pPr>
              <w:pStyle w:val="TableParagraph"/>
              <w:spacing w:before="1"/>
              <w:ind w:right="100"/>
              <w:jc w:val="right"/>
              <w:rPr>
                <w:sz w:val="22"/>
              </w:rPr>
            </w:pPr>
            <w:r>
              <w:rPr>
                <w:sz w:val="22"/>
              </w:rPr>
              <w:t>202</w:t>
            </w:r>
          </w:p>
        </w:tc>
        <w:tc>
          <w:tcPr>
            <w:tcW w:w="663" w:type="dxa"/>
            <w:tcBorders>
              <w:bottom w:val="nil"/>
            </w:tcBorders>
          </w:tcPr>
          <w:p>
            <w:pPr>
              <w:pStyle w:val="TableParagraph"/>
              <w:spacing w:before="1"/>
              <w:ind w:right="100"/>
              <w:jc w:val="right"/>
              <w:rPr>
                <w:sz w:val="22"/>
              </w:rPr>
            </w:pPr>
            <w:r>
              <w:rPr>
                <w:sz w:val="22"/>
              </w:rPr>
              <w:t>202</w:t>
            </w:r>
          </w:p>
        </w:tc>
        <w:tc>
          <w:tcPr>
            <w:tcW w:w="1760" w:type="dxa"/>
            <w:tcBorders>
              <w:bottom w:val="nil"/>
            </w:tcBorders>
          </w:tcPr>
          <w:p>
            <w:pPr>
              <w:pStyle w:val="TableParagraph"/>
              <w:spacing w:before="1"/>
              <w:ind w:right="482"/>
              <w:jc w:val="right"/>
              <w:rPr>
                <w:sz w:val="22"/>
              </w:rPr>
            </w:pPr>
            <w:r>
              <w:rPr>
                <w:sz w:val="22"/>
              </w:rPr>
              <w:t>Non Housing</w:t>
            </w:r>
          </w:p>
        </w:tc>
        <w:tc>
          <w:tcPr>
            <w:tcW w:w="1161" w:type="dxa"/>
            <w:vMerge w:val="restart"/>
          </w:tcPr>
          <w:p>
            <w:pPr>
              <w:pStyle w:val="TableParagraph"/>
              <w:rPr>
                <w:rFonts w:ascii="Times New Roman"/>
                <w:sz w:val="22"/>
              </w:rPr>
            </w:pPr>
          </w:p>
        </w:tc>
        <w:tc>
          <w:tcPr>
            <w:tcW w:w="2602" w:type="dxa"/>
            <w:tcBorders>
              <w:bottom w:val="nil"/>
            </w:tcBorders>
          </w:tcPr>
          <w:p>
            <w:pPr>
              <w:pStyle w:val="TableParagraph"/>
              <w:rPr>
                <w:rFonts w:ascii="Times New Roman"/>
                <w:sz w:val="22"/>
              </w:rPr>
            </w:pPr>
          </w:p>
        </w:tc>
        <w:tc>
          <w:tcPr>
            <w:tcW w:w="1432" w:type="dxa"/>
            <w:tcBorders>
              <w:bottom w:val="nil"/>
            </w:tcBorders>
          </w:tcPr>
          <w:p>
            <w:pPr>
              <w:pStyle w:val="TableParagraph"/>
              <w:spacing w:before="1"/>
              <w:ind w:right="100"/>
              <w:jc w:val="right"/>
              <w:rPr>
                <w:sz w:val="22"/>
              </w:rPr>
            </w:pPr>
            <w:r>
              <w:rPr>
                <w:sz w:val="22"/>
              </w:rPr>
              <w:t>CDBG:</w:t>
            </w:r>
          </w:p>
        </w:tc>
        <w:tc>
          <w:tcPr>
            <w:tcW w:w="2260" w:type="dxa"/>
            <w:tcBorders>
              <w:bottom w:val="nil"/>
            </w:tcBorders>
          </w:tcPr>
          <w:p>
            <w:pPr>
              <w:pStyle w:val="TableParagraph"/>
              <w:spacing w:before="1"/>
              <w:ind w:left="112"/>
              <w:rPr>
                <w:sz w:val="22"/>
              </w:rPr>
            </w:pPr>
            <w:r>
              <w:rPr>
                <w:sz w:val="22"/>
              </w:rPr>
              <w:t>Public Facility or</w:t>
            </w:r>
          </w:p>
        </w:tc>
      </w:tr>
      <w:tr>
        <w:trPr>
          <w:trHeight w:val="918" w:hRule="atLeast"/>
        </w:trPr>
        <w:tc>
          <w:tcPr>
            <w:tcW w:w="700" w:type="dxa"/>
            <w:tcBorders>
              <w:top w:val="nil"/>
              <w:bottom w:val="nil"/>
            </w:tcBorders>
          </w:tcPr>
          <w:p>
            <w:pPr>
              <w:pStyle w:val="TableParagraph"/>
              <w:rPr>
                <w:rFonts w:ascii="Times New Roman"/>
                <w:sz w:val="22"/>
              </w:rPr>
            </w:pPr>
          </w:p>
        </w:tc>
        <w:tc>
          <w:tcPr>
            <w:tcW w:w="2481" w:type="dxa"/>
            <w:tcBorders>
              <w:top w:val="nil"/>
              <w:bottom w:val="nil"/>
            </w:tcBorders>
          </w:tcPr>
          <w:p>
            <w:pPr>
              <w:pStyle w:val="TableParagraph"/>
              <w:spacing w:line="268" w:lineRule="exact"/>
              <w:ind w:left="112"/>
              <w:rPr>
                <w:sz w:val="22"/>
              </w:rPr>
            </w:pPr>
            <w:r>
              <w:rPr>
                <w:sz w:val="22"/>
              </w:rPr>
              <w:t>and Infrastructure</w:t>
            </w:r>
          </w:p>
        </w:tc>
        <w:tc>
          <w:tcPr>
            <w:tcW w:w="663" w:type="dxa"/>
            <w:tcBorders>
              <w:top w:val="nil"/>
              <w:bottom w:val="nil"/>
            </w:tcBorders>
          </w:tcPr>
          <w:p>
            <w:pPr>
              <w:pStyle w:val="TableParagraph"/>
              <w:spacing w:line="268" w:lineRule="exact"/>
              <w:ind w:right="100"/>
              <w:jc w:val="right"/>
              <w:rPr>
                <w:sz w:val="22"/>
              </w:rPr>
            </w:pPr>
            <w:r>
              <w:rPr>
                <w:sz w:val="22"/>
              </w:rPr>
              <w:t>5</w:t>
            </w:r>
          </w:p>
        </w:tc>
        <w:tc>
          <w:tcPr>
            <w:tcW w:w="663" w:type="dxa"/>
            <w:tcBorders>
              <w:top w:val="nil"/>
              <w:bottom w:val="nil"/>
            </w:tcBorders>
          </w:tcPr>
          <w:p>
            <w:pPr>
              <w:pStyle w:val="TableParagraph"/>
              <w:spacing w:line="268" w:lineRule="exact"/>
              <w:ind w:right="100"/>
              <w:jc w:val="right"/>
              <w:rPr>
                <w:sz w:val="22"/>
              </w:rPr>
            </w:pPr>
            <w:r>
              <w:rPr>
                <w:sz w:val="22"/>
              </w:rPr>
              <w:t>9</w:t>
            </w:r>
          </w:p>
        </w:tc>
        <w:tc>
          <w:tcPr>
            <w:tcW w:w="1760" w:type="dxa"/>
            <w:tcBorders>
              <w:top w:val="nil"/>
              <w:bottom w:val="nil"/>
            </w:tcBorders>
          </w:tcPr>
          <w:p>
            <w:pPr>
              <w:pStyle w:val="TableParagraph"/>
              <w:spacing w:line="276" w:lineRule="auto"/>
              <w:ind w:left="112" w:right="402"/>
              <w:rPr>
                <w:sz w:val="22"/>
              </w:rPr>
            </w:pPr>
            <w:r>
              <w:rPr>
                <w:sz w:val="22"/>
              </w:rPr>
              <w:t>Community Development</w:t>
            </w:r>
          </w:p>
        </w:tc>
        <w:tc>
          <w:tcPr>
            <w:tcW w:w="1161" w:type="dxa"/>
            <w:vMerge/>
            <w:tcBorders>
              <w:top w:val="nil"/>
            </w:tcBorders>
          </w:tcPr>
          <w:p>
            <w:pPr>
              <w:rPr>
                <w:sz w:val="2"/>
                <w:szCs w:val="2"/>
              </w:rPr>
            </w:pPr>
          </w:p>
        </w:tc>
        <w:tc>
          <w:tcPr>
            <w:tcW w:w="2602" w:type="dxa"/>
            <w:tcBorders>
              <w:top w:val="nil"/>
              <w:bottom w:val="nil"/>
            </w:tcBorders>
          </w:tcPr>
          <w:p>
            <w:pPr>
              <w:pStyle w:val="TableParagraph"/>
              <w:spacing w:line="276" w:lineRule="auto" w:before="22"/>
              <w:ind w:left="112" w:right="510"/>
              <w:rPr>
                <w:rFonts w:ascii="Arial"/>
                <w:sz w:val="22"/>
              </w:rPr>
            </w:pPr>
            <w:r>
              <w:rPr>
                <w:rFonts w:ascii="Arial"/>
                <w:sz w:val="22"/>
              </w:rPr>
              <w:t>Public Facilities and Infrastructure Improvement</w:t>
            </w:r>
          </w:p>
        </w:tc>
        <w:tc>
          <w:tcPr>
            <w:tcW w:w="1432" w:type="dxa"/>
            <w:tcBorders>
              <w:top w:val="nil"/>
              <w:bottom w:val="nil"/>
            </w:tcBorders>
          </w:tcPr>
          <w:p>
            <w:pPr>
              <w:pStyle w:val="TableParagraph"/>
              <w:spacing w:line="268" w:lineRule="exact"/>
              <w:ind w:right="100"/>
              <w:jc w:val="right"/>
              <w:rPr>
                <w:sz w:val="22"/>
              </w:rPr>
            </w:pPr>
            <w:r>
              <w:rPr>
                <w:sz w:val="22"/>
              </w:rPr>
              <w:t>$517,239.90</w:t>
            </w:r>
          </w:p>
        </w:tc>
        <w:tc>
          <w:tcPr>
            <w:tcW w:w="2260" w:type="dxa"/>
            <w:tcBorders>
              <w:top w:val="nil"/>
              <w:bottom w:val="nil"/>
            </w:tcBorders>
          </w:tcPr>
          <w:p>
            <w:pPr>
              <w:pStyle w:val="TableParagraph"/>
              <w:spacing w:line="276" w:lineRule="auto"/>
              <w:ind w:left="112" w:right="307"/>
              <w:rPr>
                <w:sz w:val="22"/>
              </w:rPr>
            </w:pPr>
            <w:r>
              <w:rPr>
                <w:sz w:val="22"/>
              </w:rPr>
              <w:t>Infrastructure Activities other</w:t>
            </w:r>
            <w:r>
              <w:rPr>
                <w:spacing w:val="2"/>
                <w:sz w:val="22"/>
              </w:rPr>
              <w:t> </w:t>
            </w:r>
            <w:r>
              <w:rPr>
                <w:spacing w:val="-5"/>
                <w:sz w:val="22"/>
              </w:rPr>
              <w:t>than</w:t>
            </w:r>
          </w:p>
          <w:p>
            <w:pPr>
              <w:pStyle w:val="TableParagraph"/>
              <w:ind w:left="112"/>
              <w:rPr>
                <w:sz w:val="22"/>
              </w:rPr>
            </w:pPr>
            <w:r>
              <w:rPr>
                <w:sz w:val="22"/>
              </w:rPr>
              <w:t>LMI Housing Benefit:</w:t>
            </w:r>
          </w:p>
        </w:tc>
      </w:tr>
      <w:tr>
        <w:trPr>
          <w:trHeight w:val="294" w:hRule="atLeast"/>
        </w:trPr>
        <w:tc>
          <w:tcPr>
            <w:tcW w:w="700" w:type="dxa"/>
            <w:tcBorders>
              <w:top w:val="nil"/>
            </w:tcBorders>
          </w:tcPr>
          <w:p>
            <w:pPr>
              <w:pStyle w:val="TableParagraph"/>
              <w:rPr>
                <w:rFonts w:ascii="Times New Roman"/>
                <w:sz w:val="22"/>
              </w:rPr>
            </w:pPr>
          </w:p>
        </w:tc>
        <w:tc>
          <w:tcPr>
            <w:tcW w:w="2481" w:type="dxa"/>
            <w:tcBorders>
              <w:top w:val="nil"/>
            </w:tcBorders>
          </w:tcPr>
          <w:p>
            <w:pPr>
              <w:pStyle w:val="TableParagraph"/>
              <w:rPr>
                <w:rFonts w:ascii="Times New Roman"/>
                <w:sz w:val="22"/>
              </w:rPr>
            </w:pPr>
          </w:p>
        </w:tc>
        <w:tc>
          <w:tcPr>
            <w:tcW w:w="663" w:type="dxa"/>
            <w:tcBorders>
              <w:top w:val="nil"/>
            </w:tcBorders>
          </w:tcPr>
          <w:p>
            <w:pPr>
              <w:pStyle w:val="TableParagraph"/>
              <w:rPr>
                <w:rFonts w:ascii="Times New Roman"/>
                <w:sz w:val="22"/>
              </w:rPr>
            </w:pPr>
          </w:p>
        </w:tc>
        <w:tc>
          <w:tcPr>
            <w:tcW w:w="663" w:type="dxa"/>
            <w:tcBorders>
              <w:top w:val="nil"/>
            </w:tcBorders>
          </w:tcPr>
          <w:p>
            <w:pPr>
              <w:pStyle w:val="TableParagraph"/>
              <w:rPr>
                <w:rFonts w:ascii="Times New Roman"/>
                <w:sz w:val="22"/>
              </w:rPr>
            </w:pPr>
          </w:p>
        </w:tc>
        <w:tc>
          <w:tcPr>
            <w:tcW w:w="1760" w:type="dxa"/>
            <w:tcBorders>
              <w:top w:val="nil"/>
            </w:tcBorders>
          </w:tcPr>
          <w:p>
            <w:pPr>
              <w:pStyle w:val="TableParagraph"/>
              <w:rPr>
                <w:rFonts w:ascii="Times New Roman"/>
                <w:sz w:val="22"/>
              </w:rPr>
            </w:pPr>
          </w:p>
        </w:tc>
        <w:tc>
          <w:tcPr>
            <w:tcW w:w="1161" w:type="dxa"/>
            <w:vMerge/>
            <w:tcBorders>
              <w:top w:val="nil"/>
            </w:tcBorders>
          </w:tcPr>
          <w:p>
            <w:pPr>
              <w:rPr>
                <w:sz w:val="2"/>
                <w:szCs w:val="2"/>
              </w:rPr>
            </w:pPr>
          </w:p>
        </w:tc>
        <w:tc>
          <w:tcPr>
            <w:tcW w:w="2602" w:type="dxa"/>
            <w:tcBorders>
              <w:top w:val="nil"/>
            </w:tcBorders>
          </w:tcPr>
          <w:p>
            <w:pPr>
              <w:pStyle w:val="TableParagraph"/>
              <w:rPr>
                <w:rFonts w:ascii="Times New Roman"/>
                <w:sz w:val="22"/>
              </w:rPr>
            </w:pPr>
          </w:p>
        </w:tc>
        <w:tc>
          <w:tcPr>
            <w:tcW w:w="1432" w:type="dxa"/>
            <w:tcBorders>
              <w:top w:val="nil"/>
            </w:tcBorders>
          </w:tcPr>
          <w:p>
            <w:pPr>
              <w:pStyle w:val="TableParagraph"/>
              <w:rPr>
                <w:rFonts w:ascii="Times New Roman"/>
                <w:sz w:val="22"/>
              </w:rPr>
            </w:pPr>
          </w:p>
        </w:tc>
        <w:tc>
          <w:tcPr>
            <w:tcW w:w="2260" w:type="dxa"/>
            <w:tcBorders>
              <w:top w:val="nil"/>
            </w:tcBorders>
          </w:tcPr>
          <w:p>
            <w:pPr>
              <w:pStyle w:val="TableParagraph"/>
              <w:spacing w:line="261" w:lineRule="exact"/>
              <w:ind w:left="112"/>
              <w:rPr>
                <w:sz w:val="22"/>
              </w:rPr>
            </w:pPr>
            <w:r>
              <w:rPr>
                <w:sz w:val="22"/>
              </w:rPr>
              <w:t>3162 Persons Assisted</w:t>
            </w:r>
          </w:p>
        </w:tc>
      </w:tr>
    </w:tbl>
    <w:p>
      <w:pPr>
        <w:spacing w:after="0" w:line="261" w:lineRule="exact"/>
        <w:rPr>
          <w:sz w:val="22"/>
        </w:rPr>
        <w:sectPr>
          <w:headerReference w:type="default" r:id="rId159"/>
          <w:footerReference w:type="default" r:id="rId160"/>
          <w:pgSz w:w="15840" w:h="12240" w:orient="landscape"/>
          <w:pgMar w:header="0" w:footer="1072" w:top="1140" w:bottom="1260" w:left="1220" w:right="560"/>
          <w:pgNumType w:start="123"/>
        </w:sectPr>
      </w:pPr>
    </w:p>
    <w:p>
      <w:pPr>
        <w:pStyle w:val="BodyText"/>
        <w:spacing w:before="2"/>
        <w:rPr>
          <w:b/>
          <w:sz w:val="24"/>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0"/>
        <w:gridCol w:w="2481"/>
        <w:gridCol w:w="663"/>
        <w:gridCol w:w="663"/>
        <w:gridCol w:w="1760"/>
        <w:gridCol w:w="1161"/>
        <w:gridCol w:w="2602"/>
        <w:gridCol w:w="1432"/>
        <w:gridCol w:w="2260"/>
      </w:tblGrid>
      <w:tr>
        <w:trPr>
          <w:trHeight w:val="1539" w:hRule="atLeast"/>
        </w:trPr>
        <w:tc>
          <w:tcPr>
            <w:tcW w:w="700" w:type="dxa"/>
          </w:tcPr>
          <w:p>
            <w:pPr>
              <w:pStyle w:val="TableParagraph"/>
              <w:spacing w:before="1"/>
              <w:ind w:left="112"/>
              <w:rPr>
                <w:b/>
                <w:sz w:val="22"/>
              </w:rPr>
            </w:pPr>
            <w:r>
              <w:rPr>
                <w:b/>
                <w:sz w:val="22"/>
              </w:rPr>
              <w:t>3</w:t>
            </w:r>
          </w:p>
        </w:tc>
        <w:tc>
          <w:tcPr>
            <w:tcW w:w="2481" w:type="dxa"/>
          </w:tcPr>
          <w:p>
            <w:pPr>
              <w:pStyle w:val="TableParagraph"/>
              <w:spacing w:before="1"/>
              <w:ind w:left="112"/>
              <w:rPr>
                <w:sz w:val="22"/>
              </w:rPr>
            </w:pPr>
            <w:r>
              <w:rPr>
                <w:sz w:val="22"/>
              </w:rPr>
              <w:t>Provide Public Services</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5</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9</w:t>
            </w:r>
          </w:p>
        </w:tc>
        <w:tc>
          <w:tcPr>
            <w:tcW w:w="1760" w:type="dxa"/>
          </w:tcPr>
          <w:p>
            <w:pPr>
              <w:pStyle w:val="TableParagraph"/>
              <w:spacing w:line="276" w:lineRule="auto" w:before="1"/>
              <w:ind w:left="112" w:right="402"/>
              <w:rPr>
                <w:sz w:val="22"/>
              </w:rPr>
            </w:pPr>
            <w:r>
              <w:rPr>
                <w:sz w:val="22"/>
              </w:rPr>
              <w:t>Non Housing Community Development</w:t>
            </w:r>
          </w:p>
        </w:tc>
        <w:tc>
          <w:tcPr>
            <w:tcW w:w="1161" w:type="dxa"/>
          </w:tcPr>
          <w:p>
            <w:pPr>
              <w:pStyle w:val="TableParagraph"/>
              <w:rPr>
                <w:rFonts w:ascii="Times New Roman"/>
                <w:sz w:val="20"/>
              </w:rPr>
            </w:pPr>
          </w:p>
        </w:tc>
        <w:tc>
          <w:tcPr>
            <w:tcW w:w="2602" w:type="dxa"/>
          </w:tcPr>
          <w:p>
            <w:pPr>
              <w:pStyle w:val="TableParagraph"/>
              <w:spacing w:before="1"/>
              <w:ind w:left="112"/>
              <w:rPr>
                <w:sz w:val="22"/>
              </w:rPr>
            </w:pPr>
            <w:r>
              <w:rPr>
                <w:sz w:val="22"/>
              </w:rPr>
              <w:t>Provide Public Services</w:t>
            </w:r>
          </w:p>
        </w:tc>
        <w:tc>
          <w:tcPr>
            <w:tcW w:w="1432" w:type="dxa"/>
          </w:tcPr>
          <w:p>
            <w:pPr>
              <w:pStyle w:val="TableParagraph"/>
              <w:spacing w:before="1"/>
              <w:ind w:left="744"/>
              <w:rPr>
                <w:sz w:val="22"/>
              </w:rPr>
            </w:pPr>
            <w:r>
              <w:rPr>
                <w:sz w:val="22"/>
              </w:rPr>
              <w:t>CDBG:</w:t>
            </w:r>
          </w:p>
          <w:p>
            <w:pPr>
              <w:pStyle w:val="TableParagraph"/>
              <w:spacing w:before="41"/>
              <w:ind w:left="312"/>
              <w:rPr>
                <w:sz w:val="22"/>
              </w:rPr>
            </w:pPr>
            <w:r>
              <w:rPr>
                <w:sz w:val="22"/>
              </w:rPr>
              <w:t>$87,830.00</w:t>
            </w:r>
          </w:p>
        </w:tc>
        <w:tc>
          <w:tcPr>
            <w:tcW w:w="2260" w:type="dxa"/>
          </w:tcPr>
          <w:p>
            <w:pPr>
              <w:pStyle w:val="TableParagraph"/>
              <w:spacing w:line="276" w:lineRule="auto" w:before="1"/>
              <w:ind w:left="112" w:right="307"/>
              <w:rPr>
                <w:sz w:val="22"/>
              </w:rPr>
            </w:pPr>
            <w:r>
              <w:rPr>
                <w:sz w:val="22"/>
              </w:rPr>
              <w:t>Public Service activities other than LMI Housing Benefit 9,782 Persons</w:t>
            </w:r>
          </w:p>
          <w:p>
            <w:pPr>
              <w:pStyle w:val="TableParagraph"/>
              <w:ind w:left="112"/>
              <w:rPr>
                <w:sz w:val="22"/>
              </w:rPr>
            </w:pPr>
            <w:r>
              <w:rPr>
                <w:sz w:val="22"/>
              </w:rPr>
              <w:t>Assisted</w:t>
            </w:r>
          </w:p>
        </w:tc>
      </w:tr>
      <w:tr>
        <w:trPr>
          <w:trHeight w:val="2128" w:hRule="atLeast"/>
        </w:trPr>
        <w:tc>
          <w:tcPr>
            <w:tcW w:w="700" w:type="dxa"/>
          </w:tcPr>
          <w:p>
            <w:pPr>
              <w:pStyle w:val="TableParagraph"/>
              <w:spacing w:before="1"/>
              <w:ind w:left="112"/>
              <w:rPr>
                <w:b/>
                <w:sz w:val="22"/>
              </w:rPr>
            </w:pPr>
            <w:r>
              <w:rPr>
                <w:b/>
                <w:sz w:val="22"/>
              </w:rPr>
              <w:t>4</w:t>
            </w:r>
          </w:p>
        </w:tc>
        <w:tc>
          <w:tcPr>
            <w:tcW w:w="2481" w:type="dxa"/>
          </w:tcPr>
          <w:p>
            <w:pPr>
              <w:pStyle w:val="TableParagraph"/>
              <w:spacing w:line="276" w:lineRule="auto" w:before="1"/>
              <w:ind w:left="112"/>
              <w:rPr>
                <w:sz w:val="22"/>
              </w:rPr>
            </w:pPr>
            <w:r>
              <w:rPr>
                <w:sz w:val="22"/>
              </w:rPr>
              <w:t>Provide Housing and Services for Persons Experiencing/At Risk of Homelessness</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5</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9</w:t>
            </w:r>
          </w:p>
        </w:tc>
        <w:tc>
          <w:tcPr>
            <w:tcW w:w="1760" w:type="dxa"/>
          </w:tcPr>
          <w:p>
            <w:pPr>
              <w:pStyle w:val="TableParagraph"/>
              <w:spacing w:before="1"/>
              <w:ind w:left="112"/>
              <w:rPr>
                <w:sz w:val="22"/>
              </w:rPr>
            </w:pPr>
            <w:r>
              <w:rPr>
                <w:sz w:val="22"/>
              </w:rPr>
              <w:t>Homeless</w:t>
            </w:r>
          </w:p>
        </w:tc>
        <w:tc>
          <w:tcPr>
            <w:tcW w:w="1161" w:type="dxa"/>
          </w:tcPr>
          <w:p>
            <w:pPr>
              <w:pStyle w:val="TableParagraph"/>
              <w:rPr>
                <w:rFonts w:ascii="Times New Roman"/>
                <w:sz w:val="20"/>
              </w:rPr>
            </w:pPr>
          </w:p>
        </w:tc>
        <w:tc>
          <w:tcPr>
            <w:tcW w:w="2602" w:type="dxa"/>
          </w:tcPr>
          <w:p>
            <w:pPr>
              <w:pStyle w:val="TableParagraph"/>
              <w:rPr>
                <w:b/>
                <w:sz w:val="24"/>
              </w:rPr>
            </w:pPr>
          </w:p>
          <w:p>
            <w:pPr>
              <w:pStyle w:val="TableParagraph"/>
              <w:spacing w:line="276" w:lineRule="auto" w:before="189"/>
              <w:ind w:left="112" w:right="180"/>
              <w:rPr>
                <w:rFonts w:ascii="Arial"/>
                <w:sz w:val="22"/>
              </w:rPr>
            </w:pPr>
            <w:r>
              <w:rPr>
                <w:rFonts w:ascii="Arial"/>
                <w:sz w:val="22"/>
              </w:rPr>
              <w:t>Provide Housing and Services for Persons Experiencing/At Risk of Homelessness</w:t>
            </w:r>
          </w:p>
        </w:tc>
        <w:tc>
          <w:tcPr>
            <w:tcW w:w="1432" w:type="dxa"/>
          </w:tcPr>
          <w:p>
            <w:pPr>
              <w:pStyle w:val="TableParagraph"/>
              <w:spacing w:before="1"/>
              <w:ind w:left="744"/>
              <w:rPr>
                <w:sz w:val="22"/>
              </w:rPr>
            </w:pPr>
            <w:r>
              <w:rPr>
                <w:sz w:val="22"/>
              </w:rPr>
              <w:t>CDBG:</w:t>
            </w:r>
          </w:p>
          <w:p>
            <w:pPr>
              <w:pStyle w:val="TableParagraph"/>
              <w:spacing w:before="41"/>
              <w:ind w:left="312"/>
              <w:rPr>
                <w:sz w:val="22"/>
              </w:rPr>
            </w:pPr>
            <w:r>
              <w:rPr>
                <w:sz w:val="22"/>
              </w:rPr>
              <w:t>$28,907.00</w:t>
            </w:r>
          </w:p>
        </w:tc>
        <w:tc>
          <w:tcPr>
            <w:tcW w:w="2260" w:type="dxa"/>
          </w:tcPr>
          <w:p>
            <w:pPr>
              <w:pStyle w:val="TableParagraph"/>
              <w:spacing w:line="276" w:lineRule="auto" w:before="1"/>
              <w:ind w:left="112"/>
              <w:rPr>
                <w:sz w:val="22"/>
              </w:rPr>
            </w:pPr>
            <w:r>
              <w:rPr>
                <w:sz w:val="22"/>
              </w:rPr>
              <w:t>Homeless Person Overnight Shelter: </w:t>
            </w:r>
            <w:r>
              <w:rPr>
                <w:spacing w:val="-6"/>
                <w:sz w:val="22"/>
              </w:rPr>
              <w:t>210 </w:t>
            </w:r>
            <w:r>
              <w:rPr>
                <w:sz w:val="22"/>
              </w:rPr>
              <w:t>persons assisted</w:t>
            </w:r>
          </w:p>
          <w:p>
            <w:pPr>
              <w:pStyle w:val="TableParagraph"/>
              <w:spacing w:before="7"/>
              <w:rPr>
                <w:b/>
                <w:sz w:val="19"/>
              </w:rPr>
            </w:pPr>
          </w:p>
          <w:p>
            <w:pPr>
              <w:pStyle w:val="TableParagraph"/>
              <w:spacing w:line="310" w:lineRule="atLeast"/>
              <w:ind w:left="112" w:right="307"/>
              <w:rPr>
                <w:sz w:val="22"/>
              </w:rPr>
            </w:pPr>
            <w:r>
              <w:rPr>
                <w:sz w:val="22"/>
              </w:rPr>
              <w:t>Homelessness Prevention: 220 persons</w:t>
            </w:r>
            <w:r>
              <w:rPr>
                <w:spacing w:val="7"/>
                <w:sz w:val="22"/>
              </w:rPr>
              <w:t> </w:t>
            </w:r>
            <w:r>
              <w:rPr>
                <w:spacing w:val="-3"/>
                <w:sz w:val="22"/>
              </w:rPr>
              <w:t>assisted</w:t>
            </w:r>
          </w:p>
        </w:tc>
      </w:tr>
      <w:tr>
        <w:trPr>
          <w:trHeight w:val="1510" w:hRule="atLeast"/>
        </w:trPr>
        <w:tc>
          <w:tcPr>
            <w:tcW w:w="700" w:type="dxa"/>
          </w:tcPr>
          <w:p>
            <w:pPr>
              <w:pStyle w:val="TableParagraph"/>
              <w:spacing w:before="1"/>
              <w:ind w:left="112"/>
              <w:rPr>
                <w:b/>
                <w:sz w:val="22"/>
              </w:rPr>
            </w:pPr>
            <w:r>
              <w:rPr>
                <w:b/>
                <w:sz w:val="22"/>
              </w:rPr>
              <w:t>5</w:t>
            </w:r>
          </w:p>
        </w:tc>
        <w:tc>
          <w:tcPr>
            <w:tcW w:w="2481" w:type="dxa"/>
          </w:tcPr>
          <w:p>
            <w:pPr>
              <w:pStyle w:val="TableParagraph"/>
              <w:spacing w:line="276" w:lineRule="auto" w:before="1"/>
              <w:ind w:left="112" w:right="1001"/>
              <w:rPr>
                <w:sz w:val="22"/>
              </w:rPr>
            </w:pPr>
            <w:r>
              <w:rPr>
                <w:sz w:val="22"/>
              </w:rPr>
              <w:t>Planning and Administration</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5</w:t>
            </w:r>
          </w:p>
        </w:tc>
        <w:tc>
          <w:tcPr>
            <w:tcW w:w="663" w:type="dxa"/>
          </w:tcPr>
          <w:p>
            <w:pPr>
              <w:pStyle w:val="TableParagraph"/>
              <w:spacing w:before="1"/>
              <w:ind w:right="100"/>
              <w:jc w:val="right"/>
              <w:rPr>
                <w:sz w:val="22"/>
              </w:rPr>
            </w:pPr>
            <w:r>
              <w:rPr>
                <w:sz w:val="22"/>
              </w:rPr>
              <w:t>202</w:t>
            </w:r>
          </w:p>
          <w:p>
            <w:pPr>
              <w:pStyle w:val="TableParagraph"/>
              <w:spacing w:before="41"/>
              <w:ind w:right="100"/>
              <w:jc w:val="right"/>
              <w:rPr>
                <w:sz w:val="22"/>
              </w:rPr>
            </w:pPr>
            <w:r>
              <w:rPr>
                <w:sz w:val="22"/>
              </w:rPr>
              <w:t>9</w:t>
            </w:r>
          </w:p>
        </w:tc>
        <w:tc>
          <w:tcPr>
            <w:tcW w:w="1760" w:type="dxa"/>
          </w:tcPr>
          <w:p>
            <w:pPr>
              <w:pStyle w:val="TableParagraph"/>
              <w:spacing w:before="1"/>
              <w:ind w:left="112"/>
              <w:rPr>
                <w:sz w:val="22"/>
              </w:rPr>
            </w:pPr>
            <w:r>
              <w:rPr>
                <w:sz w:val="22"/>
              </w:rPr>
              <w:t>Admin</w:t>
            </w:r>
          </w:p>
        </w:tc>
        <w:tc>
          <w:tcPr>
            <w:tcW w:w="1161" w:type="dxa"/>
          </w:tcPr>
          <w:p>
            <w:pPr>
              <w:pStyle w:val="TableParagraph"/>
              <w:rPr>
                <w:rFonts w:ascii="Times New Roman"/>
                <w:sz w:val="20"/>
              </w:rPr>
            </w:pPr>
          </w:p>
        </w:tc>
        <w:tc>
          <w:tcPr>
            <w:tcW w:w="2602" w:type="dxa"/>
          </w:tcPr>
          <w:p>
            <w:pPr>
              <w:pStyle w:val="TableParagraph"/>
              <w:spacing w:line="276" w:lineRule="auto" w:before="1"/>
              <w:ind w:left="112" w:right="1122"/>
              <w:rPr>
                <w:sz w:val="22"/>
              </w:rPr>
            </w:pPr>
            <w:r>
              <w:rPr>
                <w:sz w:val="22"/>
              </w:rPr>
              <w:t>Planning and Administration</w:t>
            </w:r>
          </w:p>
        </w:tc>
        <w:tc>
          <w:tcPr>
            <w:tcW w:w="1432" w:type="dxa"/>
          </w:tcPr>
          <w:p>
            <w:pPr>
              <w:pStyle w:val="TableParagraph"/>
              <w:spacing w:before="1"/>
              <w:ind w:left="744"/>
              <w:rPr>
                <w:sz w:val="22"/>
              </w:rPr>
            </w:pPr>
            <w:r>
              <w:rPr>
                <w:sz w:val="22"/>
              </w:rPr>
              <w:t>CDBG:</w:t>
            </w:r>
          </w:p>
          <w:p>
            <w:pPr>
              <w:pStyle w:val="TableParagraph"/>
              <w:spacing w:before="41"/>
              <w:ind w:right="100"/>
              <w:jc w:val="right"/>
              <w:rPr>
                <w:sz w:val="22"/>
              </w:rPr>
            </w:pPr>
            <w:r>
              <w:rPr>
                <w:sz w:val="22"/>
              </w:rPr>
              <w:t>$155,658.60</w:t>
            </w:r>
          </w:p>
          <w:p>
            <w:pPr>
              <w:pStyle w:val="TableParagraph"/>
              <w:spacing w:before="2"/>
              <w:rPr>
                <w:b/>
                <w:sz w:val="26"/>
              </w:rPr>
            </w:pPr>
          </w:p>
          <w:p>
            <w:pPr>
              <w:pStyle w:val="TableParagraph"/>
              <w:ind w:left="677"/>
              <w:rPr>
                <w:sz w:val="22"/>
              </w:rPr>
            </w:pPr>
            <w:r>
              <w:rPr>
                <w:sz w:val="22"/>
              </w:rPr>
              <w:t>HOME:</w:t>
            </w:r>
          </w:p>
          <w:p>
            <w:pPr>
              <w:pStyle w:val="TableParagraph"/>
              <w:spacing w:before="41"/>
              <w:ind w:right="100"/>
              <w:jc w:val="right"/>
              <w:rPr>
                <w:sz w:val="22"/>
              </w:rPr>
            </w:pPr>
            <w:r>
              <w:rPr>
                <w:sz w:val="22"/>
              </w:rPr>
              <w:t>$53,990.07</w:t>
            </w:r>
          </w:p>
        </w:tc>
        <w:tc>
          <w:tcPr>
            <w:tcW w:w="2260" w:type="dxa"/>
          </w:tcPr>
          <w:p>
            <w:pPr>
              <w:pStyle w:val="TableParagraph"/>
              <w:spacing w:before="1"/>
              <w:ind w:left="112"/>
              <w:rPr>
                <w:sz w:val="22"/>
              </w:rPr>
            </w:pPr>
            <w:r>
              <w:rPr>
                <w:sz w:val="22"/>
              </w:rPr>
              <w:t>Other: 2 Other</w:t>
            </w:r>
          </w:p>
        </w:tc>
      </w:tr>
    </w:tbl>
    <w:p>
      <w:pPr>
        <w:pStyle w:val="BodyText"/>
        <w:spacing w:before="6"/>
        <w:rPr>
          <w:b/>
          <w:sz w:val="17"/>
        </w:rPr>
      </w:pPr>
    </w:p>
    <w:p>
      <w:pPr>
        <w:spacing w:before="66"/>
        <w:ind w:left="4827" w:right="5486" w:firstLine="0"/>
        <w:jc w:val="center"/>
        <w:rPr>
          <w:rFonts w:ascii="Cambria" w:hAnsi="Cambria"/>
          <w:b/>
          <w:sz w:val="20"/>
        </w:rPr>
      </w:pPr>
      <w:r>
        <w:rPr>
          <w:rFonts w:ascii="Cambria" w:hAnsi="Cambria"/>
          <w:b/>
          <w:sz w:val="20"/>
        </w:rPr>
        <w:t>Table 60 – Goals Summary</w:t>
      </w:r>
    </w:p>
    <w:p>
      <w:pPr>
        <w:pStyle w:val="BodyText"/>
        <w:rPr>
          <w:rFonts w:ascii="Cambria"/>
          <w:b/>
          <w:sz w:val="20"/>
        </w:rPr>
      </w:pPr>
    </w:p>
    <w:p>
      <w:pPr>
        <w:pStyle w:val="BodyText"/>
        <w:spacing w:before="5"/>
        <w:rPr>
          <w:rFonts w:ascii="Cambria"/>
          <w:b/>
          <w:sz w:val="19"/>
        </w:rPr>
      </w:pPr>
    </w:p>
    <w:p>
      <w:pPr>
        <w:pStyle w:val="Heading4"/>
        <w:spacing w:before="51"/>
      </w:pPr>
      <w:r>
        <w:rPr/>
        <w:t>Goal Descriptions</w:t>
      </w:r>
    </w:p>
    <w:p>
      <w:pPr>
        <w:pStyle w:val="BodyText"/>
        <w:spacing w:before="8"/>
        <w:rPr>
          <w:b/>
          <w:sz w:val="19"/>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8"/>
        <w:gridCol w:w="1519"/>
        <w:gridCol w:w="11093"/>
      </w:tblGrid>
      <w:tr>
        <w:trPr>
          <w:trHeight w:val="531" w:hRule="atLeast"/>
        </w:trPr>
        <w:tc>
          <w:tcPr>
            <w:tcW w:w="338" w:type="dxa"/>
            <w:vMerge w:val="restart"/>
          </w:tcPr>
          <w:p>
            <w:pPr>
              <w:pStyle w:val="TableParagraph"/>
              <w:spacing w:before="2"/>
              <w:ind w:left="112"/>
              <w:rPr>
                <w:b/>
                <w:sz w:val="24"/>
              </w:rPr>
            </w:pPr>
            <w:r>
              <w:rPr>
                <w:b/>
                <w:sz w:val="24"/>
              </w:rPr>
              <w:t>1</w:t>
            </w:r>
          </w:p>
        </w:tc>
        <w:tc>
          <w:tcPr>
            <w:tcW w:w="1519" w:type="dxa"/>
          </w:tcPr>
          <w:p>
            <w:pPr>
              <w:pStyle w:val="TableParagraph"/>
              <w:spacing w:before="2"/>
              <w:ind w:left="112"/>
              <w:rPr>
                <w:b/>
                <w:sz w:val="24"/>
              </w:rPr>
            </w:pPr>
            <w:r>
              <w:rPr>
                <w:b/>
                <w:sz w:val="24"/>
              </w:rPr>
              <w:t>Goal Name</w:t>
            </w:r>
          </w:p>
        </w:tc>
        <w:tc>
          <w:tcPr>
            <w:tcW w:w="11093" w:type="dxa"/>
          </w:tcPr>
          <w:p>
            <w:pPr>
              <w:pStyle w:val="TableParagraph"/>
              <w:spacing w:before="1"/>
              <w:ind w:left="112"/>
              <w:rPr>
                <w:sz w:val="22"/>
              </w:rPr>
            </w:pPr>
            <w:r>
              <w:rPr>
                <w:sz w:val="22"/>
              </w:rPr>
              <w:t>Increase Access to and Quality of Affordable Rental Housing</w:t>
            </w:r>
          </w:p>
        </w:tc>
      </w:tr>
      <w:tr>
        <w:trPr>
          <w:trHeight w:val="1121" w:hRule="atLeast"/>
        </w:trPr>
        <w:tc>
          <w:tcPr>
            <w:tcW w:w="338" w:type="dxa"/>
            <w:vMerge/>
            <w:tcBorders>
              <w:top w:val="nil"/>
            </w:tcBorders>
          </w:tcPr>
          <w:p>
            <w:pPr>
              <w:rPr>
                <w:sz w:val="2"/>
                <w:szCs w:val="2"/>
              </w:rPr>
            </w:pPr>
          </w:p>
        </w:tc>
        <w:tc>
          <w:tcPr>
            <w:tcW w:w="1519" w:type="dxa"/>
          </w:tcPr>
          <w:p>
            <w:pPr>
              <w:pStyle w:val="TableParagraph"/>
              <w:spacing w:line="276" w:lineRule="auto" w:before="2"/>
              <w:ind w:left="112" w:right="230"/>
              <w:rPr>
                <w:b/>
                <w:sz w:val="24"/>
              </w:rPr>
            </w:pPr>
            <w:r>
              <w:rPr>
                <w:b/>
                <w:sz w:val="24"/>
              </w:rPr>
              <w:t>Goal Description</w:t>
            </w:r>
          </w:p>
        </w:tc>
        <w:tc>
          <w:tcPr>
            <w:tcW w:w="11093" w:type="dxa"/>
          </w:tcPr>
          <w:p>
            <w:pPr>
              <w:pStyle w:val="TableParagraph"/>
              <w:spacing w:line="276" w:lineRule="auto" w:before="1"/>
              <w:ind w:left="112" w:right="437"/>
              <w:rPr>
                <w:sz w:val="22"/>
              </w:rPr>
            </w:pPr>
            <w:r>
              <w:rPr>
                <w:sz w:val="22"/>
              </w:rPr>
              <w:t>The County will provide resources to increase the supply of decent, safe, sanitary and accessible rental housing that is affordable to low- moderate-income households. This could be construction of new units or rehabilitation of existing vacant units/buildings into affordable rental units.</w:t>
            </w:r>
          </w:p>
        </w:tc>
      </w:tr>
      <w:tr>
        <w:trPr>
          <w:trHeight w:val="531" w:hRule="atLeast"/>
        </w:trPr>
        <w:tc>
          <w:tcPr>
            <w:tcW w:w="338" w:type="dxa"/>
          </w:tcPr>
          <w:p>
            <w:pPr>
              <w:pStyle w:val="TableParagraph"/>
              <w:spacing w:before="2"/>
              <w:ind w:left="112"/>
              <w:rPr>
                <w:b/>
                <w:sz w:val="24"/>
              </w:rPr>
            </w:pPr>
            <w:r>
              <w:rPr>
                <w:b/>
                <w:sz w:val="24"/>
              </w:rPr>
              <w:t>2</w:t>
            </w:r>
          </w:p>
        </w:tc>
        <w:tc>
          <w:tcPr>
            <w:tcW w:w="1519" w:type="dxa"/>
          </w:tcPr>
          <w:p>
            <w:pPr>
              <w:pStyle w:val="TableParagraph"/>
              <w:spacing w:before="2"/>
              <w:ind w:left="112"/>
              <w:rPr>
                <w:b/>
                <w:sz w:val="24"/>
              </w:rPr>
            </w:pPr>
            <w:r>
              <w:rPr>
                <w:b/>
                <w:sz w:val="24"/>
              </w:rPr>
              <w:t>Goal Name</w:t>
            </w:r>
          </w:p>
        </w:tc>
        <w:tc>
          <w:tcPr>
            <w:tcW w:w="11093" w:type="dxa"/>
          </w:tcPr>
          <w:p>
            <w:pPr>
              <w:pStyle w:val="TableParagraph"/>
              <w:spacing w:before="1"/>
              <w:ind w:left="112"/>
              <w:rPr>
                <w:sz w:val="22"/>
              </w:rPr>
            </w:pPr>
            <w:r>
              <w:rPr>
                <w:sz w:val="22"/>
              </w:rPr>
              <w:t>Provide Public Facilities and Infrastructure</w:t>
            </w:r>
          </w:p>
        </w:tc>
      </w:tr>
    </w:tbl>
    <w:p>
      <w:pPr>
        <w:spacing w:after="0"/>
        <w:rPr>
          <w:sz w:val="22"/>
        </w:rPr>
        <w:sectPr>
          <w:headerReference w:type="default" r:id="rId161"/>
          <w:footerReference w:type="default" r:id="rId162"/>
          <w:pgSz w:w="15840" w:h="12240" w:orient="landscape"/>
          <w:pgMar w:header="0" w:footer="1072" w:top="1140" w:bottom="1260" w:left="1220" w:right="560"/>
          <w:pgNumType w:start="124"/>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8"/>
        <w:gridCol w:w="1519"/>
        <w:gridCol w:w="11093"/>
      </w:tblGrid>
      <w:tr>
        <w:trPr>
          <w:trHeight w:val="868" w:hRule="atLeast"/>
        </w:trPr>
        <w:tc>
          <w:tcPr>
            <w:tcW w:w="338" w:type="dxa"/>
          </w:tcPr>
          <w:p>
            <w:pPr>
              <w:pStyle w:val="TableParagraph"/>
              <w:rPr>
                <w:rFonts w:ascii="Times New Roman"/>
                <w:sz w:val="20"/>
              </w:rPr>
            </w:pPr>
          </w:p>
        </w:tc>
        <w:tc>
          <w:tcPr>
            <w:tcW w:w="1519" w:type="dxa"/>
          </w:tcPr>
          <w:p>
            <w:pPr>
              <w:pStyle w:val="TableParagraph"/>
              <w:spacing w:line="276" w:lineRule="auto" w:before="2"/>
              <w:ind w:left="112" w:right="230"/>
              <w:rPr>
                <w:b/>
                <w:sz w:val="24"/>
              </w:rPr>
            </w:pPr>
            <w:r>
              <w:rPr>
                <w:b/>
                <w:sz w:val="24"/>
              </w:rPr>
              <w:t>Goal Description</w:t>
            </w:r>
          </w:p>
        </w:tc>
        <w:tc>
          <w:tcPr>
            <w:tcW w:w="11093" w:type="dxa"/>
          </w:tcPr>
          <w:p>
            <w:pPr>
              <w:pStyle w:val="TableParagraph"/>
              <w:spacing w:before="1"/>
              <w:ind w:left="112"/>
              <w:rPr>
                <w:sz w:val="22"/>
              </w:rPr>
            </w:pPr>
            <w:r>
              <w:rPr>
                <w:sz w:val="22"/>
              </w:rPr>
              <w:t>The County will provide resources for the installation of public infrastructure (water, sewer, streets, sidewalks, utilities).</w:t>
            </w:r>
          </w:p>
        </w:tc>
      </w:tr>
      <w:tr>
        <w:trPr>
          <w:trHeight w:val="531" w:hRule="atLeast"/>
        </w:trPr>
        <w:tc>
          <w:tcPr>
            <w:tcW w:w="338" w:type="dxa"/>
            <w:vMerge w:val="restart"/>
          </w:tcPr>
          <w:p>
            <w:pPr>
              <w:pStyle w:val="TableParagraph"/>
              <w:spacing w:before="2"/>
              <w:ind w:left="112"/>
              <w:rPr>
                <w:b/>
                <w:sz w:val="24"/>
              </w:rPr>
            </w:pPr>
            <w:r>
              <w:rPr>
                <w:b/>
                <w:sz w:val="24"/>
              </w:rPr>
              <w:t>3</w:t>
            </w:r>
          </w:p>
        </w:tc>
        <w:tc>
          <w:tcPr>
            <w:tcW w:w="1519" w:type="dxa"/>
          </w:tcPr>
          <w:p>
            <w:pPr>
              <w:pStyle w:val="TableParagraph"/>
              <w:spacing w:before="2"/>
              <w:ind w:left="112"/>
              <w:rPr>
                <w:b/>
                <w:sz w:val="24"/>
              </w:rPr>
            </w:pPr>
            <w:r>
              <w:rPr>
                <w:b/>
                <w:sz w:val="24"/>
              </w:rPr>
              <w:t>Goal Name</w:t>
            </w:r>
          </w:p>
        </w:tc>
        <w:tc>
          <w:tcPr>
            <w:tcW w:w="11093" w:type="dxa"/>
          </w:tcPr>
          <w:p>
            <w:pPr>
              <w:pStyle w:val="TableParagraph"/>
              <w:spacing w:before="1"/>
              <w:ind w:left="112"/>
              <w:rPr>
                <w:sz w:val="22"/>
              </w:rPr>
            </w:pPr>
            <w:r>
              <w:rPr>
                <w:sz w:val="22"/>
              </w:rPr>
              <w:t>Provide Public Services</w:t>
            </w:r>
          </w:p>
        </w:tc>
      </w:tr>
      <w:tr>
        <w:trPr>
          <w:trHeight w:val="868" w:hRule="atLeast"/>
        </w:trPr>
        <w:tc>
          <w:tcPr>
            <w:tcW w:w="338" w:type="dxa"/>
            <w:vMerge/>
            <w:tcBorders>
              <w:top w:val="nil"/>
            </w:tcBorders>
          </w:tcPr>
          <w:p>
            <w:pPr>
              <w:rPr>
                <w:sz w:val="2"/>
                <w:szCs w:val="2"/>
              </w:rPr>
            </w:pPr>
          </w:p>
        </w:tc>
        <w:tc>
          <w:tcPr>
            <w:tcW w:w="1519" w:type="dxa"/>
          </w:tcPr>
          <w:p>
            <w:pPr>
              <w:pStyle w:val="TableParagraph"/>
              <w:spacing w:line="276" w:lineRule="auto" w:before="2"/>
              <w:ind w:left="112" w:right="230"/>
              <w:rPr>
                <w:b/>
                <w:sz w:val="24"/>
              </w:rPr>
            </w:pPr>
            <w:r>
              <w:rPr>
                <w:b/>
                <w:sz w:val="24"/>
              </w:rPr>
              <w:t>Goal Description</w:t>
            </w:r>
          </w:p>
        </w:tc>
        <w:tc>
          <w:tcPr>
            <w:tcW w:w="11093" w:type="dxa"/>
          </w:tcPr>
          <w:p>
            <w:pPr>
              <w:pStyle w:val="TableParagraph"/>
              <w:spacing w:line="276" w:lineRule="auto" w:before="57"/>
              <w:ind w:left="112" w:right="484"/>
              <w:rPr>
                <w:sz w:val="22"/>
              </w:rPr>
            </w:pPr>
            <w:r>
              <w:rPr>
                <w:sz w:val="22"/>
              </w:rPr>
              <w:t>Fund organizations providing services lifting individuals out of poverty, including financial assistance, food assistance, shelter, education, and more.</w:t>
            </w:r>
          </w:p>
        </w:tc>
      </w:tr>
      <w:tr>
        <w:trPr>
          <w:trHeight w:val="531" w:hRule="atLeast"/>
        </w:trPr>
        <w:tc>
          <w:tcPr>
            <w:tcW w:w="338" w:type="dxa"/>
            <w:vMerge w:val="restart"/>
          </w:tcPr>
          <w:p>
            <w:pPr>
              <w:pStyle w:val="TableParagraph"/>
              <w:spacing w:before="2"/>
              <w:ind w:left="112"/>
              <w:rPr>
                <w:b/>
                <w:sz w:val="24"/>
              </w:rPr>
            </w:pPr>
            <w:r>
              <w:rPr>
                <w:b/>
                <w:sz w:val="24"/>
              </w:rPr>
              <w:t>4</w:t>
            </w:r>
          </w:p>
        </w:tc>
        <w:tc>
          <w:tcPr>
            <w:tcW w:w="1519" w:type="dxa"/>
          </w:tcPr>
          <w:p>
            <w:pPr>
              <w:pStyle w:val="TableParagraph"/>
              <w:spacing w:before="2"/>
              <w:ind w:left="112"/>
              <w:rPr>
                <w:b/>
                <w:sz w:val="24"/>
              </w:rPr>
            </w:pPr>
            <w:r>
              <w:rPr>
                <w:b/>
                <w:sz w:val="24"/>
              </w:rPr>
              <w:t>Goal Name</w:t>
            </w:r>
          </w:p>
        </w:tc>
        <w:tc>
          <w:tcPr>
            <w:tcW w:w="11093" w:type="dxa"/>
          </w:tcPr>
          <w:p>
            <w:pPr>
              <w:pStyle w:val="TableParagraph"/>
              <w:spacing w:before="1"/>
              <w:ind w:left="112"/>
              <w:rPr>
                <w:sz w:val="22"/>
              </w:rPr>
            </w:pPr>
            <w:r>
              <w:rPr>
                <w:sz w:val="22"/>
              </w:rPr>
              <w:t>Provide Housing and Services for Persons Experiencing/At Risk of Homelessness</w:t>
            </w:r>
          </w:p>
        </w:tc>
      </w:tr>
      <w:tr>
        <w:trPr>
          <w:trHeight w:val="1739" w:hRule="atLeast"/>
        </w:trPr>
        <w:tc>
          <w:tcPr>
            <w:tcW w:w="338" w:type="dxa"/>
            <w:vMerge/>
            <w:tcBorders>
              <w:top w:val="nil"/>
            </w:tcBorders>
          </w:tcPr>
          <w:p>
            <w:pPr>
              <w:rPr>
                <w:sz w:val="2"/>
                <w:szCs w:val="2"/>
              </w:rPr>
            </w:pPr>
          </w:p>
        </w:tc>
        <w:tc>
          <w:tcPr>
            <w:tcW w:w="1519" w:type="dxa"/>
          </w:tcPr>
          <w:p>
            <w:pPr>
              <w:pStyle w:val="TableParagraph"/>
              <w:spacing w:line="276" w:lineRule="auto" w:before="2"/>
              <w:ind w:left="112" w:right="230"/>
              <w:rPr>
                <w:b/>
                <w:sz w:val="24"/>
              </w:rPr>
            </w:pPr>
            <w:r>
              <w:rPr>
                <w:b/>
                <w:sz w:val="24"/>
              </w:rPr>
              <w:t>Goal Description</w:t>
            </w:r>
          </w:p>
        </w:tc>
        <w:tc>
          <w:tcPr>
            <w:tcW w:w="11093" w:type="dxa"/>
          </w:tcPr>
          <w:p>
            <w:pPr>
              <w:pStyle w:val="TableParagraph"/>
              <w:spacing w:line="276" w:lineRule="auto" w:before="1"/>
              <w:ind w:left="112" w:right="289"/>
              <w:rPr>
                <w:sz w:val="22"/>
              </w:rPr>
            </w:pPr>
            <w:r>
              <w:rPr>
                <w:sz w:val="22"/>
              </w:rPr>
              <w:t>Provide funds to support shelter operations and transitional housing. Acquisition, construction, or rehabilitation of temporary shelters and transitional housing for the homeless, including victims of domestic violence, veterans, disaster victims, families with children, unaccompanied youth, drug offenders, and formerly incarcerated persons. Provide funding to increase permanent supportive housing opportunities and work to create a stronger network of providers of supportive and mainstream services to homeless clients.</w:t>
            </w:r>
          </w:p>
        </w:tc>
      </w:tr>
      <w:tr>
        <w:trPr>
          <w:trHeight w:val="531" w:hRule="atLeast"/>
        </w:trPr>
        <w:tc>
          <w:tcPr>
            <w:tcW w:w="338" w:type="dxa"/>
            <w:vMerge w:val="restart"/>
          </w:tcPr>
          <w:p>
            <w:pPr>
              <w:pStyle w:val="TableParagraph"/>
              <w:spacing w:before="2"/>
              <w:ind w:left="112"/>
              <w:rPr>
                <w:b/>
                <w:sz w:val="24"/>
              </w:rPr>
            </w:pPr>
            <w:r>
              <w:rPr>
                <w:b/>
                <w:sz w:val="24"/>
              </w:rPr>
              <w:t>5</w:t>
            </w:r>
          </w:p>
        </w:tc>
        <w:tc>
          <w:tcPr>
            <w:tcW w:w="1519" w:type="dxa"/>
          </w:tcPr>
          <w:p>
            <w:pPr>
              <w:pStyle w:val="TableParagraph"/>
              <w:spacing w:before="2"/>
              <w:ind w:left="112"/>
              <w:rPr>
                <w:b/>
                <w:sz w:val="24"/>
              </w:rPr>
            </w:pPr>
            <w:r>
              <w:rPr>
                <w:b/>
                <w:sz w:val="24"/>
              </w:rPr>
              <w:t>Goal Name</w:t>
            </w:r>
          </w:p>
        </w:tc>
        <w:tc>
          <w:tcPr>
            <w:tcW w:w="11093" w:type="dxa"/>
          </w:tcPr>
          <w:p>
            <w:pPr>
              <w:pStyle w:val="TableParagraph"/>
              <w:spacing w:before="1"/>
              <w:ind w:left="112"/>
              <w:rPr>
                <w:sz w:val="22"/>
              </w:rPr>
            </w:pPr>
            <w:r>
              <w:rPr>
                <w:sz w:val="22"/>
              </w:rPr>
              <w:t>Planning and Administration</w:t>
            </w:r>
          </w:p>
        </w:tc>
      </w:tr>
      <w:tr>
        <w:trPr>
          <w:trHeight w:val="868" w:hRule="atLeast"/>
        </w:trPr>
        <w:tc>
          <w:tcPr>
            <w:tcW w:w="338" w:type="dxa"/>
            <w:vMerge/>
            <w:tcBorders>
              <w:top w:val="nil"/>
            </w:tcBorders>
          </w:tcPr>
          <w:p>
            <w:pPr>
              <w:rPr>
                <w:sz w:val="2"/>
                <w:szCs w:val="2"/>
              </w:rPr>
            </w:pPr>
          </w:p>
        </w:tc>
        <w:tc>
          <w:tcPr>
            <w:tcW w:w="1519" w:type="dxa"/>
          </w:tcPr>
          <w:p>
            <w:pPr>
              <w:pStyle w:val="TableParagraph"/>
              <w:spacing w:line="276" w:lineRule="auto" w:before="2"/>
              <w:ind w:left="112" w:right="230"/>
              <w:rPr>
                <w:b/>
                <w:sz w:val="24"/>
              </w:rPr>
            </w:pPr>
            <w:r>
              <w:rPr>
                <w:b/>
                <w:sz w:val="24"/>
              </w:rPr>
              <w:t>Goal Description</w:t>
            </w:r>
          </w:p>
        </w:tc>
        <w:tc>
          <w:tcPr>
            <w:tcW w:w="11093" w:type="dxa"/>
          </w:tcPr>
          <w:p>
            <w:pPr>
              <w:pStyle w:val="TableParagraph"/>
              <w:spacing w:before="1"/>
              <w:ind w:left="112"/>
              <w:rPr>
                <w:sz w:val="22"/>
              </w:rPr>
            </w:pPr>
            <w:r>
              <w:rPr>
                <w:sz w:val="22"/>
              </w:rPr>
              <w:t>City will provide effective and efficient program management and oversight.</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6"/>
        </w:rPr>
      </w:pPr>
    </w:p>
    <w:p>
      <w:pPr>
        <w:pStyle w:val="BodyText"/>
        <w:tabs>
          <w:tab w:pos="5859" w:val="left" w:leader="none"/>
          <w:tab w:pos="11453" w:val="right" w:leader="none"/>
        </w:tabs>
        <w:spacing w:before="56"/>
        <w:ind w:left="1946"/>
      </w:pPr>
      <w:r>
        <w:rPr/>
        <w:t>Consolidated Plan</w:t>
        <w:tab/>
        <w:t>BLOOMINGTON</w:t>
        <w:tab/>
        <w:t>125</w:t>
      </w:r>
    </w:p>
    <w:p>
      <w:pPr>
        <w:spacing w:after="0"/>
        <w:sectPr>
          <w:headerReference w:type="default" r:id="rId163"/>
          <w:footerReference w:type="default" r:id="rId164"/>
          <w:pgSz w:w="15840" w:h="12240" w:orient="landscape"/>
          <w:pgMar w:header="0" w:footer="726" w:top="1140" w:bottom="920" w:left="1220" w:right="560"/>
        </w:sectPr>
      </w:pPr>
    </w:p>
    <w:p>
      <w:pPr>
        <w:pStyle w:val="Heading1"/>
        <w:spacing w:before="106"/>
        <w:ind w:left="3300" w:right="3253"/>
        <w:jc w:val="center"/>
      </w:pPr>
      <w:bookmarkStart w:name="_TOC_250006" w:id="16"/>
      <w:bookmarkEnd w:id="16"/>
      <w:r>
        <w:rPr>
          <w:color w:val="0E4661"/>
        </w:rPr>
        <w:t>Projects</w:t>
      </w:r>
    </w:p>
    <w:p>
      <w:pPr>
        <w:pStyle w:val="Heading1"/>
        <w:spacing w:before="218"/>
        <w:ind w:left="120"/>
      </w:pPr>
      <w:bookmarkStart w:name="_TOC_250005" w:id="17"/>
      <w:bookmarkEnd w:id="17"/>
      <w:r>
        <w:rPr>
          <w:color w:val="0E4661"/>
        </w:rPr>
        <w:t>AP-35 Projects – 91.220(d)</w:t>
      </w:r>
    </w:p>
    <w:p>
      <w:pPr>
        <w:pStyle w:val="Heading4"/>
        <w:spacing w:before="137"/>
        <w:ind w:left="120"/>
      </w:pPr>
      <w:r>
        <w:rPr/>
        <w:t>Introduction</w:t>
      </w:r>
    </w:p>
    <w:p>
      <w:pPr>
        <w:pStyle w:val="BodyText"/>
        <w:rPr>
          <w:b/>
          <w:sz w:val="24"/>
        </w:rPr>
      </w:pPr>
    </w:p>
    <w:p>
      <w:pPr>
        <w:pStyle w:val="BodyText"/>
        <w:spacing w:before="10"/>
        <w:rPr>
          <w:b/>
          <w:sz w:val="23"/>
        </w:rPr>
      </w:pPr>
    </w:p>
    <w:p>
      <w:pPr>
        <w:pStyle w:val="Heading6"/>
        <w:spacing w:before="1"/>
        <w:ind w:left="120"/>
      </w:pPr>
      <w:r>
        <w:rPr/>
        <w:t>Projects</w:t>
      </w:r>
    </w:p>
    <w:p>
      <w:pPr>
        <w:pStyle w:val="BodyText"/>
        <w:spacing w:before="9"/>
        <w:rPr>
          <w:b/>
          <w:sz w:val="12"/>
        </w:rPr>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7178"/>
      </w:tblGrid>
      <w:tr>
        <w:trPr>
          <w:trHeight w:val="263" w:hRule="atLeast"/>
        </w:trPr>
        <w:tc>
          <w:tcPr>
            <w:tcW w:w="440" w:type="dxa"/>
          </w:tcPr>
          <w:p>
            <w:pPr>
              <w:pStyle w:val="TableParagraph"/>
              <w:spacing w:line="242" w:lineRule="exact" w:before="1"/>
              <w:ind w:left="162"/>
              <w:rPr>
                <w:b/>
                <w:sz w:val="22"/>
              </w:rPr>
            </w:pPr>
            <w:r>
              <w:rPr>
                <w:b/>
                <w:sz w:val="22"/>
              </w:rPr>
              <w:t>#</w:t>
            </w:r>
          </w:p>
        </w:tc>
        <w:tc>
          <w:tcPr>
            <w:tcW w:w="7178" w:type="dxa"/>
          </w:tcPr>
          <w:p>
            <w:pPr>
              <w:pStyle w:val="TableParagraph"/>
              <w:spacing w:line="242" w:lineRule="exact" w:before="1"/>
              <w:ind w:left="2945" w:right="2935"/>
              <w:jc w:val="center"/>
              <w:rPr>
                <w:b/>
                <w:sz w:val="22"/>
              </w:rPr>
            </w:pPr>
            <w:r>
              <w:rPr>
                <w:b/>
                <w:sz w:val="22"/>
              </w:rPr>
              <w:t>Project Name</w:t>
            </w:r>
          </w:p>
        </w:tc>
      </w:tr>
      <w:tr>
        <w:trPr>
          <w:trHeight w:val="532" w:hRule="atLeast"/>
        </w:trPr>
        <w:tc>
          <w:tcPr>
            <w:tcW w:w="440" w:type="dxa"/>
          </w:tcPr>
          <w:p>
            <w:pPr>
              <w:pStyle w:val="TableParagraph"/>
              <w:spacing w:before="1"/>
              <w:ind w:left="161"/>
              <w:rPr>
                <w:sz w:val="22"/>
              </w:rPr>
            </w:pPr>
            <w:r>
              <w:rPr>
                <w:sz w:val="22"/>
              </w:rPr>
              <w:t>1</w:t>
            </w:r>
          </w:p>
        </w:tc>
        <w:tc>
          <w:tcPr>
            <w:tcW w:w="7178" w:type="dxa"/>
          </w:tcPr>
          <w:p>
            <w:pPr>
              <w:pStyle w:val="TableParagraph"/>
              <w:spacing w:line="270" w:lineRule="atLeast"/>
              <w:ind w:left="112" w:right="989"/>
              <w:rPr>
                <w:sz w:val="22"/>
              </w:rPr>
            </w:pPr>
            <w:r>
              <w:rPr>
                <w:sz w:val="22"/>
              </w:rPr>
              <w:t>Physical Improvement 2025-Bloomington Utilities Broadview Sewer Extension</w:t>
            </w:r>
          </w:p>
        </w:tc>
      </w:tr>
      <w:tr>
        <w:trPr>
          <w:trHeight w:val="255" w:hRule="atLeast"/>
        </w:trPr>
        <w:tc>
          <w:tcPr>
            <w:tcW w:w="440" w:type="dxa"/>
          </w:tcPr>
          <w:p>
            <w:pPr>
              <w:pStyle w:val="TableParagraph"/>
              <w:spacing w:line="236" w:lineRule="exact"/>
              <w:ind w:left="161"/>
              <w:rPr>
                <w:sz w:val="22"/>
              </w:rPr>
            </w:pPr>
            <w:r>
              <w:rPr>
                <w:sz w:val="22"/>
              </w:rPr>
              <w:t>2</w:t>
            </w:r>
          </w:p>
        </w:tc>
        <w:tc>
          <w:tcPr>
            <w:tcW w:w="7178" w:type="dxa"/>
          </w:tcPr>
          <w:p>
            <w:pPr>
              <w:pStyle w:val="TableParagraph"/>
              <w:spacing w:line="236" w:lineRule="exact"/>
              <w:ind w:left="112"/>
              <w:rPr>
                <w:sz w:val="22"/>
              </w:rPr>
            </w:pPr>
            <w:r>
              <w:rPr>
                <w:sz w:val="22"/>
              </w:rPr>
              <w:t>Physical Improvements 2025-Centerstone Group Home</w:t>
            </w:r>
          </w:p>
        </w:tc>
      </w:tr>
      <w:tr>
        <w:trPr>
          <w:trHeight w:val="263" w:hRule="atLeast"/>
        </w:trPr>
        <w:tc>
          <w:tcPr>
            <w:tcW w:w="440" w:type="dxa"/>
          </w:tcPr>
          <w:p>
            <w:pPr>
              <w:pStyle w:val="TableParagraph"/>
              <w:spacing w:line="242" w:lineRule="exact" w:before="1"/>
              <w:ind w:left="161"/>
              <w:rPr>
                <w:sz w:val="22"/>
              </w:rPr>
            </w:pPr>
            <w:r>
              <w:rPr>
                <w:sz w:val="22"/>
              </w:rPr>
              <w:t>3</w:t>
            </w:r>
          </w:p>
        </w:tc>
        <w:tc>
          <w:tcPr>
            <w:tcW w:w="7178" w:type="dxa"/>
          </w:tcPr>
          <w:p>
            <w:pPr>
              <w:pStyle w:val="TableParagraph"/>
              <w:spacing w:line="242" w:lineRule="exact" w:before="1"/>
              <w:ind w:left="112"/>
              <w:rPr>
                <w:sz w:val="22"/>
              </w:rPr>
            </w:pPr>
            <w:r>
              <w:rPr>
                <w:sz w:val="22"/>
              </w:rPr>
              <w:t>Physical Improvement 2025-Middle Way House</w:t>
            </w:r>
          </w:p>
        </w:tc>
      </w:tr>
      <w:tr>
        <w:trPr>
          <w:trHeight w:val="263" w:hRule="atLeast"/>
        </w:trPr>
        <w:tc>
          <w:tcPr>
            <w:tcW w:w="440" w:type="dxa"/>
          </w:tcPr>
          <w:p>
            <w:pPr>
              <w:pStyle w:val="TableParagraph"/>
              <w:spacing w:line="242" w:lineRule="exact" w:before="1"/>
              <w:ind w:left="161"/>
              <w:rPr>
                <w:sz w:val="22"/>
              </w:rPr>
            </w:pPr>
            <w:r>
              <w:rPr>
                <w:sz w:val="22"/>
              </w:rPr>
              <w:t>4</w:t>
            </w:r>
          </w:p>
        </w:tc>
        <w:tc>
          <w:tcPr>
            <w:tcW w:w="7178" w:type="dxa"/>
          </w:tcPr>
          <w:p>
            <w:pPr>
              <w:pStyle w:val="TableParagraph"/>
              <w:spacing w:line="242" w:lineRule="exact" w:before="1"/>
              <w:ind w:left="112"/>
              <w:rPr>
                <w:sz w:val="22"/>
              </w:rPr>
            </w:pPr>
            <w:r>
              <w:rPr>
                <w:sz w:val="22"/>
              </w:rPr>
              <w:t>Physical Improvement 2025-Life Designs</w:t>
            </w:r>
          </w:p>
        </w:tc>
      </w:tr>
      <w:tr>
        <w:trPr>
          <w:trHeight w:val="263" w:hRule="atLeast"/>
        </w:trPr>
        <w:tc>
          <w:tcPr>
            <w:tcW w:w="440" w:type="dxa"/>
          </w:tcPr>
          <w:p>
            <w:pPr>
              <w:pStyle w:val="TableParagraph"/>
              <w:spacing w:line="242" w:lineRule="exact" w:before="1"/>
              <w:ind w:left="161"/>
              <w:rPr>
                <w:sz w:val="22"/>
              </w:rPr>
            </w:pPr>
            <w:r>
              <w:rPr>
                <w:sz w:val="22"/>
              </w:rPr>
              <w:t>5</w:t>
            </w:r>
          </w:p>
        </w:tc>
        <w:tc>
          <w:tcPr>
            <w:tcW w:w="7178" w:type="dxa"/>
          </w:tcPr>
          <w:p>
            <w:pPr>
              <w:pStyle w:val="TableParagraph"/>
              <w:spacing w:line="242" w:lineRule="exact" w:before="1"/>
              <w:ind w:left="112"/>
              <w:rPr>
                <w:sz w:val="22"/>
              </w:rPr>
            </w:pPr>
            <w:r>
              <w:rPr>
                <w:sz w:val="22"/>
              </w:rPr>
              <w:t>Physical Improvement 2025-Pathways Playground Improvements</w:t>
            </w:r>
          </w:p>
        </w:tc>
      </w:tr>
      <w:tr>
        <w:trPr>
          <w:trHeight w:val="263" w:hRule="atLeast"/>
        </w:trPr>
        <w:tc>
          <w:tcPr>
            <w:tcW w:w="440" w:type="dxa"/>
          </w:tcPr>
          <w:p>
            <w:pPr>
              <w:pStyle w:val="TableParagraph"/>
              <w:spacing w:line="242" w:lineRule="exact" w:before="1"/>
              <w:ind w:left="161"/>
              <w:rPr>
                <w:sz w:val="22"/>
              </w:rPr>
            </w:pPr>
            <w:r>
              <w:rPr>
                <w:sz w:val="22"/>
              </w:rPr>
              <w:t>6</w:t>
            </w:r>
          </w:p>
        </w:tc>
        <w:tc>
          <w:tcPr>
            <w:tcW w:w="7178" w:type="dxa"/>
          </w:tcPr>
          <w:p>
            <w:pPr>
              <w:pStyle w:val="TableParagraph"/>
              <w:spacing w:line="242" w:lineRule="exact" w:before="1"/>
              <w:ind w:left="112"/>
              <w:rPr>
                <w:sz w:val="22"/>
              </w:rPr>
            </w:pPr>
            <w:r>
              <w:rPr>
                <w:sz w:val="22"/>
              </w:rPr>
              <w:t>Physical Improvement 2025-New Hope for Families</w:t>
            </w:r>
          </w:p>
        </w:tc>
      </w:tr>
      <w:tr>
        <w:trPr>
          <w:trHeight w:val="263" w:hRule="atLeast"/>
        </w:trPr>
        <w:tc>
          <w:tcPr>
            <w:tcW w:w="440" w:type="dxa"/>
          </w:tcPr>
          <w:p>
            <w:pPr>
              <w:pStyle w:val="TableParagraph"/>
              <w:spacing w:line="242" w:lineRule="exact" w:before="1"/>
              <w:ind w:left="161"/>
              <w:rPr>
                <w:sz w:val="22"/>
              </w:rPr>
            </w:pPr>
            <w:r>
              <w:rPr>
                <w:sz w:val="22"/>
              </w:rPr>
              <w:t>7</w:t>
            </w:r>
          </w:p>
        </w:tc>
        <w:tc>
          <w:tcPr>
            <w:tcW w:w="7178" w:type="dxa"/>
          </w:tcPr>
          <w:p>
            <w:pPr>
              <w:pStyle w:val="TableParagraph"/>
              <w:spacing w:line="242" w:lineRule="exact" w:before="1"/>
              <w:ind w:left="112"/>
              <w:rPr>
                <w:sz w:val="22"/>
              </w:rPr>
            </w:pPr>
            <w:r>
              <w:rPr>
                <w:sz w:val="22"/>
              </w:rPr>
              <w:t>Physical Improvement 2025-Summit Hill CDC Walnut Woods Playground</w:t>
            </w:r>
          </w:p>
        </w:tc>
      </w:tr>
      <w:tr>
        <w:trPr>
          <w:trHeight w:val="263" w:hRule="atLeast"/>
        </w:trPr>
        <w:tc>
          <w:tcPr>
            <w:tcW w:w="440" w:type="dxa"/>
          </w:tcPr>
          <w:p>
            <w:pPr>
              <w:pStyle w:val="TableParagraph"/>
              <w:spacing w:line="242" w:lineRule="exact" w:before="1"/>
              <w:ind w:left="161"/>
              <w:rPr>
                <w:sz w:val="22"/>
              </w:rPr>
            </w:pPr>
            <w:r>
              <w:rPr>
                <w:sz w:val="22"/>
              </w:rPr>
              <w:t>8</w:t>
            </w:r>
          </w:p>
        </w:tc>
        <w:tc>
          <w:tcPr>
            <w:tcW w:w="7178" w:type="dxa"/>
          </w:tcPr>
          <w:p>
            <w:pPr>
              <w:pStyle w:val="TableParagraph"/>
              <w:spacing w:line="242" w:lineRule="exact" w:before="1"/>
              <w:ind w:left="112"/>
              <w:rPr>
                <w:sz w:val="22"/>
              </w:rPr>
            </w:pPr>
            <w:r>
              <w:rPr>
                <w:sz w:val="22"/>
              </w:rPr>
              <w:t>Physical Improvement 2025-Mother Hubbard’s Cupboard Acquisition</w:t>
            </w:r>
          </w:p>
        </w:tc>
      </w:tr>
      <w:tr>
        <w:trPr>
          <w:trHeight w:val="263" w:hRule="atLeast"/>
        </w:trPr>
        <w:tc>
          <w:tcPr>
            <w:tcW w:w="440" w:type="dxa"/>
          </w:tcPr>
          <w:p>
            <w:pPr>
              <w:pStyle w:val="TableParagraph"/>
              <w:spacing w:line="242" w:lineRule="exact" w:before="1"/>
              <w:ind w:left="161"/>
              <w:rPr>
                <w:sz w:val="22"/>
              </w:rPr>
            </w:pPr>
            <w:r>
              <w:rPr>
                <w:sz w:val="22"/>
              </w:rPr>
              <w:t>9</w:t>
            </w:r>
          </w:p>
        </w:tc>
        <w:tc>
          <w:tcPr>
            <w:tcW w:w="7178" w:type="dxa"/>
          </w:tcPr>
          <w:p>
            <w:pPr>
              <w:pStyle w:val="TableParagraph"/>
              <w:spacing w:line="242" w:lineRule="exact" w:before="1"/>
              <w:ind w:left="112"/>
              <w:rPr>
                <w:sz w:val="22"/>
              </w:rPr>
            </w:pPr>
            <w:r>
              <w:rPr>
                <w:sz w:val="22"/>
              </w:rPr>
              <w:t>Social Services 2025 Hoosier Hills Food Bank</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0</w:t>
            </w:r>
          </w:p>
        </w:tc>
        <w:tc>
          <w:tcPr>
            <w:tcW w:w="7178" w:type="dxa"/>
          </w:tcPr>
          <w:p>
            <w:pPr>
              <w:pStyle w:val="TableParagraph"/>
              <w:spacing w:before="136"/>
              <w:ind w:left="112"/>
              <w:rPr>
                <w:sz w:val="22"/>
              </w:rPr>
            </w:pPr>
            <w:r>
              <w:rPr>
                <w:sz w:val="22"/>
              </w:rPr>
              <w:t>Social Services 2025 Community Kitchen</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1</w:t>
            </w:r>
          </w:p>
        </w:tc>
        <w:tc>
          <w:tcPr>
            <w:tcW w:w="7178" w:type="dxa"/>
          </w:tcPr>
          <w:p>
            <w:pPr>
              <w:pStyle w:val="TableParagraph"/>
              <w:spacing w:before="136"/>
              <w:ind w:left="112"/>
              <w:rPr>
                <w:sz w:val="22"/>
              </w:rPr>
            </w:pPr>
            <w:r>
              <w:rPr>
                <w:sz w:val="22"/>
              </w:rPr>
              <w:t>Social Services 2025-Pathways (Monroe County United Ministries)</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2</w:t>
            </w:r>
          </w:p>
        </w:tc>
        <w:tc>
          <w:tcPr>
            <w:tcW w:w="7178" w:type="dxa"/>
          </w:tcPr>
          <w:p>
            <w:pPr>
              <w:pStyle w:val="TableParagraph"/>
              <w:spacing w:before="136"/>
              <w:ind w:left="112"/>
              <w:rPr>
                <w:sz w:val="22"/>
              </w:rPr>
            </w:pPr>
            <w:r>
              <w:rPr>
                <w:sz w:val="22"/>
              </w:rPr>
              <w:t>Social Services 2025-Beacon</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3</w:t>
            </w:r>
          </w:p>
        </w:tc>
        <w:tc>
          <w:tcPr>
            <w:tcW w:w="7178" w:type="dxa"/>
          </w:tcPr>
          <w:p>
            <w:pPr>
              <w:pStyle w:val="TableParagraph"/>
              <w:spacing w:before="136"/>
              <w:ind w:left="112"/>
              <w:rPr>
                <w:sz w:val="22"/>
              </w:rPr>
            </w:pPr>
            <w:r>
              <w:rPr>
                <w:sz w:val="22"/>
              </w:rPr>
              <w:t>Social Services 2025 Middle Way House</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4</w:t>
            </w:r>
          </w:p>
        </w:tc>
        <w:tc>
          <w:tcPr>
            <w:tcW w:w="7178" w:type="dxa"/>
          </w:tcPr>
          <w:p>
            <w:pPr>
              <w:pStyle w:val="TableParagraph"/>
              <w:spacing w:before="136"/>
              <w:ind w:left="112"/>
              <w:rPr>
                <w:sz w:val="22"/>
              </w:rPr>
            </w:pPr>
            <w:r>
              <w:rPr>
                <w:sz w:val="22"/>
              </w:rPr>
              <w:t>Social Services 2025 Mother Hubbard’s Cupboard</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5</w:t>
            </w:r>
          </w:p>
        </w:tc>
        <w:tc>
          <w:tcPr>
            <w:tcW w:w="7178" w:type="dxa"/>
          </w:tcPr>
          <w:p>
            <w:pPr>
              <w:pStyle w:val="TableParagraph"/>
              <w:spacing w:before="136"/>
              <w:ind w:left="112"/>
              <w:rPr>
                <w:sz w:val="22"/>
              </w:rPr>
            </w:pPr>
            <w:r>
              <w:rPr>
                <w:sz w:val="22"/>
              </w:rPr>
              <w:t>Social Services 2025 Boys &amp; Girls Club</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6</w:t>
            </w:r>
          </w:p>
        </w:tc>
        <w:tc>
          <w:tcPr>
            <w:tcW w:w="7178" w:type="dxa"/>
          </w:tcPr>
          <w:p>
            <w:pPr>
              <w:pStyle w:val="TableParagraph"/>
              <w:spacing w:before="136"/>
              <w:ind w:left="112"/>
              <w:rPr>
                <w:sz w:val="22"/>
              </w:rPr>
            </w:pPr>
            <w:r>
              <w:rPr>
                <w:sz w:val="22"/>
              </w:rPr>
              <w:t>2025 CDBG Admin</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7</w:t>
            </w:r>
          </w:p>
        </w:tc>
        <w:tc>
          <w:tcPr>
            <w:tcW w:w="7178" w:type="dxa"/>
          </w:tcPr>
          <w:p>
            <w:pPr>
              <w:pStyle w:val="TableParagraph"/>
              <w:spacing w:before="136"/>
              <w:ind w:left="112"/>
              <w:rPr>
                <w:sz w:val="22"/>
              </w:rPr>
            </w:pPr>
            <w:r>
              <w:rPr>
                <w:sz w:val="22"/>
              </w:rPr>
              <w:t>2025 HOME Admin</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8</w:t>
            </w:r>
          </w:p>
        </w:tc>
        <w:tc>
          <w:tcPr>
            <w:tcW w:w="7178" w:type="dxa"/>
          </w:tcPr>
          <w:p>
            <w:pPr>
              <w:pStyle w:val="TableParagraph"/>
              <w:spacing w:before="136"/>
              <w:ind w:left="112"/>
              <w:rPr>
                <w:sz w:val="22"/>
              </w:rPr>
            </w:pPr>
            <w:r>
              <w:rPr>
                <w:sz w:val="22"/>
              </w:rPr>
              <w:t>2025 CHDO</w:t>
            </w:r>
          </w:p>
        </w:tc>
      </w:tr>
      <w:tr>
        <w:trPr>
          <w:trHeight w:val="532" w:hRule="atLeast"/>
        </w:trPr>
        <w:tc>
          <w:tcPr>
            <w:tcW w:w="440" w:type="dxa"/>
          </w:tcPr>
          <w:p>
            <w:pPr>
              <w:pStyle w:val="TableParagraph"/>
              <w:spacing w:before="1"/>
              <w:ind w:left="9"/>
              <w:jc w:val="center"/>
              <w:rPr>
                <w:sz w:val="22"/>
              </w:rPr>
            </w:pPr>
            <w:r>
              <w:rPr>
                <w:sz w:val="22"/>
              </w:rPr>
              <w:t>1</w:t>
            </w:r>
          </w:p>
          <w:p>
            <w:pPr>
              <w:pStyle w:val="TableParagraph"/>
              <w:spacing w:line="242" w:lineRule="exact"/>
              <w:ind w:left="9"/>
              <w:jc w:val="center"/>
              <w:rPr>
                <w:sz w:val="22"/>
              </w:rPr>
            </w:pPr>
            <w:r>
              <w:rPr>
                <w:sz w:val="22"/>
              </w:rPr>
              <w:t>9</w:t>
            </w:r>
          </w:p>
        </w:tc>
        <w:tc>
          <w:tcPr>
            <w:tcW w:w="7178" w:type="dxa"/>
          </w:tcPr>
          <w:p>
            <w:pPr>
              <w:pStyle w:val="TableParagraph"/>
              <w:spacing w:before="136"/>
              <w:ind w:left="112"/>
              <w:rPr>
                <w:sz w:val="22"/>
              </w:rPr>
            </w:pPr>
            <w:r>
              <w:rPr>
                <w:sz w:val="22"/>
              </w:rPr>
              <w:t>2025 HOME Rental Activities</w:t>
            </w:r>
          </w:p>
        </w:tc>
      </w:tr>
      <w:tr>
        <w:trPr>
          <w:trHeight w:val="532" w:hRule="atLeast"/>
        </w:trPr>
        <w:tc>
          <w:tcPr>
            <w:tcW w:w="440" w:type="dxa"/>
          </w:tcPr>
          <w:p>
            <w:pPr>
              <w:pStyle w:val="TableParagraph"/>
              <w:spacing w:before="1"/>
              <w:ind w:left="9"/>
              <w:jc w:val="center"/>
              <w:rPr>
                <w:sz w:val="22"/>
              </w:rPr>
            </w:pPr>
            <w:r>
              <w:rPr>
                <w:sz w:val="22"/>
              </w:rPr>
              <w:t>2</w:t>
            </w:r>
          </w:p>
          <w:p>
            <w:pPr>
              <w:pStyle w:val="TableParagraph"/>
              <w:spacing w:line="242" w:lineRule="exact"/>
              <w:ind w:left="9"/>
              <w:jc w:val="center"/>
              <w:rPr>
                <w:sz w:val="22"/>
              </w:rPr>
            </w:pPr>
            <w:r>
              <w:rPr>
                <w:sz w:val="22"/>
              </w:rPr>
              <w:t>0</w:t>
            </w:r>
          </w:p>
        </w:tc>
        <w:tc>
          <w:tcPr>
            <w:tcW w:w="7178" w:type="dxa"/>
          </w:tcPr>
          <w:p>
            <w:pPr>
              <w:pStyle w:val="TableParagraph"/>
              <w:spacing w:before="136"/>
              <w:ind w:left="112"/>
              <w:rPr>
                <w:sz w:val="22"/>
              </w:rPr>
            </w:pPr>
            <w:r>
              <w:rPr>
                <w:sz w:val="22"/>
              </w:rPr>
              <w:t>2025 HOME Homeowner Activities</w:t>
            </w:r>
          </w:p>
        </w:tc>
      </w:tr>
    </w:tbl>
    <w:p>
      <w:pPr>
        <w:spacing w:before="0"/>
        <w:ind w:left="3373" w:right="3253" w:firstLine="0"/>
        <w:jc w:val="center"/>
        <w:rPr>
          <w:rFonts w:ascii="Cambria" w:hAnsi="Cambria"/>
          <w:b/>
          <w:sz w:val="20"/>
        </w:rPr>
      </w:pPr>
      <w:r>
        <w:rPr>
          <w:rFonts w:ascii="Cambria" w:hAnsi="Cambria"/>
          <w:b/>
          <w:sz w:val="20"/>
        </w:rPr>
        <w:t>Table 61 – Project Information</w:t>
      </w:r>
    </w:p>
    <w:p>
      <w:pPr>
        <w:spacing w:after="0"/>
        <w:jc w:val="center"/>
        <w:rPr>
          <w:rFonts w:ascii="Cambria" w:hAnsi="Cambria"/>
          <w:sz w:val="20"/>
        </w:rPr>
        <w:sectPr>
          <w:headerReference w:type="default" r:id="rId165"/>
          <w:footerReference w:type="default" r:id="rId166"/>
          <w:pgSz w:w="12240" w:h="15840"/>
          <w:pgMar w:header="0" w:footer="1340" w:top="1500" w:bottom="1540" w:left="1320" w:right="1440"/>
          <w:pgNumType w:start="126"/>
        </w:sectPr>
      </w:pPr>
    </w:p>
    <w:p>
      <w:pPr>
        <w:pStyle w:val="Heading4"/>
        <w:spacing w:line="204" w:lineRule="auto" w:before="58"/>
        <w:ind w:left="120" w:right="381"/>
      </w:pPr>
      <w:r>
        <w:rPr/>
        <w:t>Describe the reasons for allocation priorities and any obstacles to addressing underserved needs</w:t>
      </w:r>
    </w:p>
    <w:p>
      <w:pPr>
        <w:pStyle w:val="BodyText"/>
        <w:spacing w:before="1"/>
        <w:rPr>
          <w:b/>
          <w:sz w:val="20"/>
        </w:rPr>
      </w:pPr>
    </w:p>
    <w:p>
      <w:pPr>
        <w:pStyle w:val="BodyText"/>
        <w:spacing w:line="276" w:lineRule="auto" w:before="1"/>
        <w:ind w:left="120" w:right="131"/>
      </w:pPr>
      <w:r>
        <w:rPr/>
        <w:t>The City of Bloomington has a greater need than is able to be served. The City will receive a 2025 CDBG award in the amount of $778,293.00. A majority of the funds (65%) will be used for physical improvements projects, while the remaining allocation will be used for social services and administration.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headerReference w:type="default" r:id="rId167"/>
          <w:footerReference w:type="default" r:id="rId168"/>
          <w:pgSz w:w="12240" w:h="15840"/>
          <w:pgMar w:header="0" w:footer="726" w:top="1420" w:bottom="920" w:left="1320" w:right="1440"/>
        </w:sectPr>
      </w:pPr>
    </w:p>
    <w:p>
      <w:pPr>
        <w:pStyle w:val="BodyText"/>
        <w:spacing w:before="55"/>
        <w:ind w:left="136" w:right="21" w:firstLine="99"/>
      </w:pPr>
      <w:r>
        <w:rPr/>
        <w:t>Consolidated Plan</w:t>
      </w:r>
    </w:p>
    <w:p>
      <w:pPr>
        <w:pStyle w:val="BodyText"/>
        <w:tabs>
          <w:tab w:pos="5538" w:val="right" w:leader="none"/>
        </w:tabs>
        <w:spacing w:before="55"/>
        <w:ind w:left="136"/>
      </w:pPr>
      <w:r>
        <w:rPr/>
        <w:br w:type="column"/>
      </w:r>
      <w:r>
        <w:rPr/>
        <w:t>BLOOMINGTON</w:t>
        <w:tab/>
        <w:t>127</w:t>
      </w:r>
    </w:p>
    <w:p>
      <w:pPr>
        <w:spacing w:after="0"/>
        <w:sectPr>
          <w:type w:val="continuous"/>
          <w:pgSz w:w="12240" w:h="15840"/>
          <w:pgMar w:top="1340" w:bottom="1520" w:left="1320" w:right="1440"/>
          <w:cols w:num="2" w:equalWidth="0">
            <w:col w:w="1448" w:space="2379"/>
            <w:col w:w="5653"/>
          </w:cols>
        </w:sectPr>
      </w:pPr>
    </w:p>
    <w:p>
      <w:pPr>
        <w:pStyle w:val="Heading1"/>
        <w:spacing w:before="466"/>
      </w:pPr>
      <w:bookmarkStart w:name="_TOC_250004" w:id="18"/>
      <w:bookmarkEnd w:id="18"/>
      <w:r>
        <w:rPr>
          <w:color w:val="0E4661"/>
        </w:rPr>
        <w:t>AP-38 Project Summary</w:t>
      </w:r>
    </w:p>
    <w:p>
      <w:pPr>
        <w:pStyle w:val="Heading4"/>
        <w:spacing w:before="137"/>
      </w:pPr>
      <w:r>
        <w:rPr/>
        <w:t>Project Summary Information</w:t>
      </w:r>
    </w:p>
    <w:p>
      <w:pPr>
        <w:pStyle w:val="BodyText"/>
        <w:spacing w:before="7"/>
        <w:rPr>
          <w:b/>
          <w:sz w:val="19"/>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spacing w:before="1"/>
              <w:ind w:left="112"/>
              <w:rPr>
                <w:b/>
                <w:sz w:val="22"/>
              </w:rPr>
            </w:pPr>
            <w:r>
              <w:rPr>
                <w:b/>
                <w:sz w:val="22"/>
              </w:rPr>
              <w:t>1</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2025-Bloomington Utilities Broadview Sewer Extension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$141,089.00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Eligible Activity: Public Infrastructure Rehabilitation; National Objective LMA</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11 low income homeowners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Broadview, City of Bloomington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Water/Sewer Improvements Matrix Code 03J</w:t>
            </w:r>
          </w:p>
        </w:tc>
      </w:tr>
      <w:tr>
        <w:trPr>
          <w:trHeight w:val="403" w:hRule="atLeast"/>
        </w:trPr>
        <w:tc>
          <w:tcPr>
            <w:tcW w:w="440" w:type="dxa"/>
            <w:vMerge w:val="restart"/>
          </w:tcPr>
          <w:p>
            <w:pPr>
              <w:pStyle w:val="TableParagraph"/>
              <w:spacing w:before="1"/>
              <w:ind w:left="112"/>
              <w:rPr>
                <w:b/>
                <w:sz w:val="22"/>
              </w:rPr>
            </w:pPr>
            <w:r>
              <w:rPr>
                <w:b/>
                <w:sz w:val="22"/>
              </w:rPr>
              <w:t>2</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Improvements 2025-Centerstone Group Home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Increase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Improve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$35,000</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line="310" w:lineRule="atLeast" w:before="60"/>
              <w:ind w:left="112" w:right="588"/>
              <w:rPr>
                <w:sz w:val="22"/>
              </w:rPr>
            </w:pPr>
            <w:r>
              <w:rPr>
                <w:sz w:val="22"/>
              </w:rPr>
              <w:t>Funds will be used to replace deteriorating flooring in a group home owned and operated by Centerstone of Indiana</w:t>
            </w:r>
          </w:p>
        </w:tc>
      </w:tr>
    </w:tbl>
    <w:p>
      <w:pPr>
        <w:spacing w:after="0" w:line="310" w:lineRule="atLeast"/>
        <w:rPr>
          <w:sz w:val="22"/>
        </w:rPr>
        <w:sectPr>
          <w:headerReference w:type="default" r:id="rId169"/>
          <w:footerReference w:type="default" r:id="rId170"/>
          <w:pgSz w:w="15840" w:h="12240" w:orient="landscape"/>
          <w:pgMar w:header="0" w:footer="992" w:top="1140" w:bottom="1180" w:left="1220" w:right="1440"/>
          <w:pgNumType w:start="128"/>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50 low income individuals are expected to benefit from the proposed activity</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Centerstone Indiana Group Home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Rehabilitation Matrix Code 14B</w:t>
            </w:r>
          </w:p>
        </w:tc>
      </w:tr>
      <w:tr>
        <w:trPr>
          <w:trHeight w:val="403" w:hRule="atLeast"/>
        </w:trPr>
        <w:tc>
          <w:tcPr>
            <w:tcW w:w="440" w:type="dxa"/>
            <w:vMerge w:val="restart"/>
          </w:tcPr>
          <w:p>
            <w:pPr>
              <w:pStyle w:val="TableParagraph"/>
              <w:spacing w:before="1"/>
              <w:ind w:left="112"/>
              <w:rPr>
                <w:b/>
                <w:sz w:val="22"/>
              </w:rPr>
            </w:pPr>
            <w:r>
              <w:rPr>
                <w:b/>
                <w:sz w:val="22"/>
              </w:rPr>
              <w:t>3</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2025-Middle Way House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Housing and Services to People Experiencing/At Risk of Homelessness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Housing and Services to People Experiencing/At Risk of Homelessness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$9,418.00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replace elevator railing at the Middle Way House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90 low income survivors of domestic violence will benefit from the proposed activities</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Middle Way House (address suppressed for privacy)</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Shelter Rehabilitation Matrix Code 03C</w:t>
            </w:r>
          </w:p>
        </w:tc>
      </w:tr>
      <w:tr>
        <w:trPr>
          <w:trHeight w:val="403" w:hRule="atLeast"/>
        </w:trPr>
        <w:tc>
          <w:tcPr>
            <w:tcW w:w="440" w:type="dxa"/>
            <w:vMerge w:val="restart"/>
          </w:tcPr>
          <w:p>
            <w:pPr>
              <w:pStyle w:val="TableParagraph"/>
              <w:spacing w:before="1"/>
              <w:ind w:left="112"/>
              <w:rPr>
                <w:b/>
                <w:sz w:val="22"/>
              </w:rPr>
            </w:pPr>
            <w:r>
              <w:rPr>
                <w:b/>
                <w:sz w:val="22"/>
              </w:rPr>
              <w:t>4</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2025-Life Designs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Increase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Improve Access to and Quality of Affordable Housing</w:t>
            </w:r>
          </w:p>
        </w:tc>
      </w:tr>
    </w:tbl>
    <w:p>
      <w:pPr>
        <w:spacing w:after="0"/>
        <w:rPr>
          <w:sz w:val="22"/>
        </w:rPr>
        <w:sectPr>
          <w:headerReference w:type="default" r:id="rId171"/>
          <w:footerReference w:type="default" r:id="rId172"/>
          <w:pgSz w:w="15840" w:h="12240" w:orient="landscape"/>
          <w:pgMar w:header="0" w:footer="992" w:top="1140" w:bottom="1180" w:left="1220" w:right="1440"/>
          <w:pgNumType w:start="129"/>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$29,512.00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rehabilitate two Life Designs locations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Six low income individuals will benefit from the proposed activities</w:t>
            </w:r>
          </w:p>
        </w:tc>
      </w:tr>
      <w:tr>
        <w:trPr>
          <w:trHeight w:val="8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1826 Covey</w:t>
            </w:r>
          </w:p>
          <w:p>
            <w:pPr>
              <w:pStyle w:val="TableParagraph"/>
              <w:spacing w:before="141"/>
              <w:ind w:left="112"/>
              <w:rPr>
                <w:sz w:val="22"/>
              </w:rPr>
            </w:pPr>
            <w:r>
              <w:rPr>
                <w:sz w:val="22"/>
              </w:rPr>
              <w:t>922 Orris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Kitchen Upgrades and Roof Replacement Matrix Code 14B</w:t>
            </w:r>
          </w:p>
        </w:tc>
      </w:tr>
      <w:tr>
        <w:trPr>
          <w:trHeight w:val="403" w:hRule="atLeast"/>
        </w:trPr>
        <w:tc>
          <w:tcPr>
            <w:tcW w:w="440" w:type="dxa"/>
            <w:vMerge w:val="restart"/>
          </w:tcPr>
          <w:p>
            <w:pPr>
              <w:pStyle w:val="TableParagraph"/>
              <w:spacing w:before="1"/>
              <w:ind w:left="112"/>
              <w:rPr>
                <w:b/>
                <w:sz w:val="22"/>
              </w:rPr>
            </w:pPr>
            <w:r>
              <w:rPr>
                <w:b/>
                <w:sz w:val="22"/>
              </w:rPr>
              <w:t>5</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2025-Pathways Playground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Facilities and Infrastructure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$20,000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Park Improvements Matrix Code 03F</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94 low income individual are expected to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rPr>
                <w:rFonts w:ascii="Times New Roman"/>
                <w:sz w:val="20"/>
              </w:rPr>
            </w:pP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Playground improvements Matrix Code 03F</w:t>
            </w:r>
          </w:p>
        </w:tc>
      </w:tr>
      <w:tr>
        <w:trPr>
          <w:trHeight w:val="403" w:hRule="atLeast"/>
        </w:trPr>
        <w:tc>
          <w:tcPr>
            <w:tcW w:w="440" w:type="dxa"/>
          </w:tcPr>
          <w:p>
            <w:pPr>
              <w:pStyle w:val="TableParagraph"/>
              <w:spacing w:before="1"/>
              <w:ind w:left="112"/>
              <w:rPr>
                <w:b/>
                <w:sz w:val="22"/>
              </w:rPr>
            </w:pPr>
            <w:r>
              <w:rPr>
                <w:b/>
                <w:sz w:val="22"/>
              </w:rPr>
              <w:t>6</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2025-New Hope for Families</w:t>
            </w:r>
          </w:p>
        </w:tc>
      </w:tr>
    </w:tbl>
    <w:p>
      <w:pPr>
        <w:spacing w:after="0"/>
        <w:rPr>
          <w:sz w:val="22"/>
        </w:rPr>
        <w:sectPr>
          <w:headerReference w:type="default" r:id="rId173"/>
          <w:footerReference w:type="default" r:id="rId174"/>
          <w:pgSz w:w="15840" w:h="12240" w:orient="landscape"/>
          <w:pgMar w:header="0" w:footer="992" w:top="1140" w:bottom="1180" w:left="1220" w:right="1440"/>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Facilities and Infrastructure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$30,000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Park Improvements Matrix Code 03F</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200 low income individual are expected to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rPr>
                <w:rFonts w:ascii="Times New Roman"/>
                <w:sz w:val="20"/>
              </w:rPr>
            </w:pP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Playground improvements Matrix Code 03F</w:t>
            </w:r>
          </w:p>
        </w:tc>
      </w:tr>
      <w:tr>
        <w:trPr>
          <w:trHeight w:val="403" w:hRule="atLeast"/>
        </w:trPr>
        <w:tc>
          <w:tcPr>
            <w:tcW w:w="440" w:type="dxa"/>
            <w:vMerge w:val="restart"/>
          </w:tcPr>
          <w:p>
            <w:pPr>
              <w:pStyle w:val="TableParagraph"/>
              <w:spacing w:before="1"/>
              <w:ind w:left="112"/>
              <w:rPr>
                <w:b/>
                <w:sz w:val="22"/>
              </w:rPr>
            </w:pPr>
            <w:r>
              <w:rPr>
                <w:b/>
                <w:sz w:val="22"/>
              </w:rPr>
              <w:t>7</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2025-Summit Hill CDC Walnut Woods Playground</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Facilities and Infrastructure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$113,397</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Park Improvements Matrix Code 03F</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105 low income individual are expected to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Walnut Woods</w:t>
            </w:r>
          </w:p>
        </w:tc>
      </w:tr>
    </w:tbl>
    <w:p>
      <w:pPr>
        <w:spacing w:after="0"/>
        <w:rPr>
          <w:sz w:val="22"/>
        </w:rPr>
        <w:sectPr>
          <w:headerReference w:type="default" r:id="rId175"/>
          <w:footerReference w:type="default" r:id="rId176"/>
          <w:pgSz w:w="15840" w:h="12240" w:orient="landscape"/>
          <w:pgMar w:header="0" w:footer="992" w:top="1140" w:bottom="1180" w:left="1220" w:right="1440"/>
          <w:pgNumType w:start="131"/>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tcPr>
          <w:p>
            <w:pPr>
              <w:pStyle w:val="TableParagraph"/>
              <w:rPr>
                <w:rFonts w:ascii="Times New Roman"/>
                <w:sz w:val="20"/>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Playground improvements Matrix Code 03F</w:t>
            </w:r>
          </w:p>
        </w:tc>
      </w:tr>
      <w:tr>
        <w:trPr>
          <w:trHeight w:val="403" w:hRule="atLeast"/>
        </w:trPr>
        <w:tc>
          <w:tcPr>
            <w:tcW w:w="440" w:type="dxa"/>
            <w:vMerge w:val="restart"/>
          </w:tcPr>
          <w:p>
            <w:pPr>
              <w:pStyle w:val="TableParagraph"/>
              <w:spacing w:before="1"/>
              <w:ind w:left="112"/>
              <w:rPr>
                <w:b/>
                <w:sz w:val="22"/>
              </w:rPr>
            </w:pPr>
            <w:r>
              <w:rPr>
                <w:b/>
                <w:sz w:val="22"/>
              </w:rPr>
              <w:t>8</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Physical Improvement 2025-Mother Hubbard’s Cupboard Acquisition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Facilities and Infrastructure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Public Facilities and Infrastructure Improvements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$138,823.90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acquire land to expand food pantry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2606 low income individual are expected to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1020 W Allen St</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Acquisition Matrix Code 01</w:t>
            </w:r>
          </w:p>
        </w:tc>
      </w:tr>
      <w:tr>
        <w:trPr>
          <w:trHeight w:val="403" w:hRule="atLeast"/>
        </w:trPr>
        <w:tc>
          <w:tcPr>
            <w:tcW w:w="440" w:type="dxa"/>
            <w:vMerge w:val="restart"/>
          </w:tcPr>
          <w:p>
            <w:pPr>
              <w:pStyle w:val="TableParagraph"/>
              <w:spacing w:before="1"/>
              <w:ind w:left="112"/>
              <w:rPr>
                <w:b/>
                <w:sz w:val="22"/>
              </w:rPr>
            </w:pPr>
            <w:r>
              <w:rPr>
                <w:b/>
                <w:sz w:val="22"/>
              </w:rPr>
              <w:t>9</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 Hoosier Hills Food Bank</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p>
            <w:pPr>
              <w:pStyle w:val="TableParagraph"/>
              <w:spacing w:before="4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$17,141</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the Hoosier Hills Food Bank</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bl>
    <w:p>
      <w:pPr>
        <w:spacing w:after="0"/>
        <w:rPr>
          <w:sz w:val="22"/>
        </w:rPr>
        <w:sectPr>
          <w:headerReference w:type="default" r:id="rId177"/>
          <w:footerReference w:type="default" r:id="rId178"/>
          <w:pgSz w:w="15840" w:h="12240" w:orient="landscape"/>
          <w:pgMar w:header="0" w:footer="992" w:top="1140" w:bottom="1180" w:left="1220" w:right="1440"/>
          <w:pgNumType w:start="132"/>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1021" w:hRule="atLeast"/>
        </w:trPr>
        <w:tc>
          <w:tcPr>
            <w:tcW w:w="440" w:type="dxa"/>
            <w:vMerge w:val="restart"/>
          </w:tcPr>
          <w:p>
            <w:pPr>
              <w:pStyle w:val="TableParagraph"/>
              <w:rPr>
                <w:rFonts w:ascii="Times New Roman"/>
                <w:sz w:val="20"/>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2700 low income individuals will be served by the Food Bank</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Food Banks Matrix Code 05W</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0</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 Community Kitchen</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p>
            <w:pPr>
              <w:pStyle w:val="TableParagraph"/>
              <w:spacing w:before="41"/>
              <w:ind w:left="112"/>
              <w:rPr>
                <w:sz w:val="22"/>
              </w:rPr>
            </w:pPr>
            <w:r>
              <w:rPr>
                <w:sz w:val="22"/>
              </w:rPr>
              <w:t>CDBG-eligible areas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$20,891</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the Community Kitchen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3750 low income individuals are expected to benefit from the Kitchen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Food Banks Matrix Code 05W</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1</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2025-Pathways (Monroe County United Ministries)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$11,766</w:t>
            </w:r>
          </w:p>
        </w:tc>
      </w:tr>
    </w:tbl>
    <w:p>
      <w:pPr>
        <w:spacing w:after="0"/>
        <w:rPr>
          <w:sz w:val="22"/>
        </w:rPr>
        <w:sectPr>
          <w:headerReference w:type="default" r:id="rId179"/>
          <w:footerReference w:type="default" r:id="rId180"/>
          <w:pgSz w:w="15840" w:h="12240" w:orient="landscape"/>
          <w:pgMar w:header="0" w:footer="992" w:top="1140" w:bottom="1180" w:left="1220" w:right="1440"/>
          <w:pgNumType w:start="133"/>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early learning activities at MCUM</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120 low income youth are expected to benefit from the activity</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Matrix Code 05D</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2</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2025-Beacon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Housing/services to individuals experiencing or at risk of homelessness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Housing/services to individuals experiencing or at risk of homelessness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$17,141</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shelter and stability services at Beacon Inc.</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300 individuals are expected to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Emergency shelter Matrix Code 03T</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3</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 Middle Way House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Housing/services to individuals experiencing or at risk of homelessness</w:t>
            </w:r>
          </w:p>
        </w:tc>
      </w:tr>
    </w:tbl>
    <w:p>
      <w:pPr>
        <w:spacing w:after="0"/>
        <w:rPr>
          <w:sz w:val="22"/>
        </w:rPr>
        <w:sectPr>
          <w:headerReference w:type="default" r:id="rId181"/>
          <w:footerReference w:type="default" r:id="rId182"/>
          <w:pgSz w:w="15840" w:h="12240" w:orient="landscape"/>
          <w:pgMar w:header="0" w:footer="992" w:top="1140" w:bottom="1180" w:left="1220" w:right="1440"/>
          <w:pgNumType w:start="134"/>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Housing/services to individuals experiencing or at risk of homelessness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$11,766</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for operation of Middle Way House for survivors of Domestic Violence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Approximately 220 survivors of domestic violence will benefit from the proposed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Emergency Shelter Matrix Code 03T</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4</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 Mother Hubbard’s Cupboard</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$17,141</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Mother Hubbard’s Cupboard Food Pantry</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Total number of clients you plan to serve: 2606</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Food Banks 05W</w:t>
            </w:r>
          </w:p>
        </w:tc>
      </w:tr>
      <w:tr>
        <w:trPr>
          <w:trHeight w:val="403" w:hRule="atLeast"/>
        </w:trPr>
        <w:tc>
          <w:tcPr>
            <w:tcW w:w="440" w:type="dxa"/>
          </w:tcPr>
          <w:p>
            <w:pPr>
              <w:pStyle w:val="TableParagraph"/>
              <w:spacing w:before="1"/>
              <w:ind w:left="112"/>
              <w:rPr>
                <w:b/>
                <w:sz w:val="22"/>
              </w:rPr>
            </w:pPr>
            <w:r>
              <w:rPr>
                <w:b/>
                <w:sz w:val="22"/>
              </w:rPr>
              <w:t>1</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Social Services 2025 Boys &amp; Girls Club</w:t>
            </w:r>
          </w:p>
        </w:tc>
      </w:tr>
    </w:tbl>
    <w:p>
      <w:pPr>
        <w:spacing w:after="0"/>
        <w:rPr>
          <w:sz w:val="22"/>
        </w:rPr>
        <w:sectPr>
          <w:headerReference w:type="default" r:id="rId183"/>
          <w:footerReference w:type="default" r:id="rId184"/>
          <w:pgSz w:w="15840" w:h="12240" w:orient="landscape"/>
          <w:pgMar w:header="0" w:footer="992" w:top="1140" w:bottom="1180" w:left="1220" w:right="1440"/>
          <w:pgNumType w:start="135"/>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spacing w:line="265" w:lineRule="exact"/>
              <w:ind w:left="112"/>
              <w:rPr>
                <w:b/>
                <w:sz w:val="22"/>
              </w:rPr>
            </w:pPr>
            <w:r>
              <w:rPr>
                <w:b/>
                <w:sz w:val="22"/>
              </w:rPr>
              <w:t>5</w:t>
            </w: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Provide Public Services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$20,891</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will be used to support programming at the Boys &amp; Girls Club</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Approximately 516 low income individuals will benefit from the proposed activiites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Youth Services Matrix Code 05D</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6</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2025 CDBG Admin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Planning and Administration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Planning and Administration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$155,658.60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Funds used for the administration of CDBG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5/31/2026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N/A Admin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bl>
    <w:p>
      <w:pPr>
        <w:spacing w:after="0"/>
        <w:rPr>
          <w:sz w:val="22"/>
        </w:rPr>
        <w:sectPr>
          <w:headerReference w:type="default" r:id="rId185"/>
          <w:footerReference w:type="default" r:id="rId186"/>
          <w:pgSz w:w="15840" w:h="12240" w:orient="landscape"/>
          <w:pgMar w:header="0" w:footer="992" w:top="1140" w:bottom="1180" w:left="1220" w:right="1440"/>
          <w:pgNumType w:start="136"/>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tcPr>
          <w:p>
            <w:pPr>
              <w:pStyle w:val="TableParagraph"/>
              <w:rPr>
                <w:rFonts w:ascii="Times New Roman"/>
                <w:sz w:val="20"/>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Overall program management, coordination, monitoring, and evaluation Matrix Code 21A</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7</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Homeowner Housing Rehabilitation Program</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Rehabilitate Existing Housing Stock</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Increase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CDBG: $100,000</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The City will rehabilitate approximately 4 housing units.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4 housing units rehabilitated</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Housing rehabilitation</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8</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2025 HOME Admin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Planning and Administration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Planning and Administration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HOME: $53,990</w:t>
            </w:r>
          </w:p>
        </w:tc>
      </w:tr>
      <w:tr>
        <w:trPr>
          <w:trHeight w:val="1021"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line="310" w:lineRule="atLeast" w:before="60"/>
              <w:ind w:left="112" w:right="200"/>
              <w:rPr>
                <w:sz w:val="22"/>
              </w:rPr>
            </w:pPr>
            <w:r>
              <w:rPr>
                <w:sz w:val="22"/>
              </w:rPr>
              <w:t>The administration of HOME funds to support the building, buying, and/or rehabilitating affordable housing for rent or homeownership or providing direct rental assistance necessary for safe, sanitary, decent, affordable housing &amp; opportunities to low-income people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62"/>
              <w:rPr>
                <w:sz w:val="22"/>
              </w:rPr>
            </w:pPr>
            <w:r>
              <w:rPr>
                <w:sz w:val="22"/>
              </w:rPr>
              <w:t>5/31/2026</w:t>
            </w:r>
          </w:p>
        </w:tc>
      </w:tr>
    </w:tbl>
    <w:p>
      <w:pPr>
        <w:spacing w:after="0"/>
        <w:rPr>
          <w:sz w:val="22"/>
        </w:rPr>
        <w:sectPr>
          <w:headerReference w:type="default" r:id="rId187"/>
          <w:footerReference w:type="default" r:id="rId188"/>
          <w:pgSz w:w="15840" w:h="12240" w:orient="landscape"/>
          <w:pgMar w:header="0" w:footer="992" w:top="1140" w:bottom="1180" w:left="1220" w:right="1440"/>
          <w:pgNumType w:start="137"/>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1021" w:hRule="atLeast"/>
        </w:trPr>
        <w:tc>
          <w:tcPr>
            <w:tcW w:w="440" w:type="dxa"/>
            <w:vMerge w:val="restart"/>
          </w:tcPr>
          <w:p>
            <w:pPr>
              <w:pStyle w:val="TableParagraph"/>
              <w:rPr>
                <w:rFonts w:ascii="Times New Roman"/>
                <w:sz w:val="20"/>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N/A Admin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1021"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line="310" w:lineRule="atLeast" w:before="60"/>
              <w:ind w:left="112" w:right="509"/>
              <w:rPr>
                <w:sz w:val="22"/>
              </w:rPr>
            </w:pPr>
            <w:r>
              <w:rPr>
                <w:sz w:val="22"/>
              </w:rPr>
              <w:t>The administration of HOME funds to support the building, buying, and/or rehabilitating affordable housing for rent or homeownership or providing direct rental assistance necessary for safe, sanitary, decent, affordable housing &amp; opportunities to low-income people</w:t>
            </w:r>
          </w:p>
        </w:tc>
      </w:tr>
      <w:tr>
        <w:trPr>
          <w:trHeight w:val="403" w:hRule="atLeast"/>
        </w:trPr>
        <w:tc>
          <w:tcPr>
            <w:tcW w:w="440" w:type="dxa"/>
            <w:vMerge w:val="restart"/>
          </w:tcPr>
          <w:p>
            <w:pPr>
              <w:pStyle w:val="TableParagraph"/>
              <w:spacing w:before="1"/>
              <w:ind w:left="112"/>
              <w:rPr>
                <w:b/>
                <w:sz w:val="22"/>
              </w:rPr>
            </w:pPr>
            <w:r>
              <w:rPr>
                <w:b/>
                <w:sz w:val="22"/>
              </w:rPr>
              <w:t>1</w:t>
            </w:r>
          </w:p>
          <w:p>
            <w:pPr>
              <w:pStyle w:val="TableParagraph"/>
              <w:spacing w:before="41"/>
              <w:ind w:left="112"/>
              <w:rPr>
                <w:b/>
                <w:sz w:val="22"/>
              </w:rPr>
            </w:pPr>
            <w:r>
              <w:rPr>
                <w:b/>
                <w:sz w:val="22"/>
              </w:rPr>
              <w:t>9</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2025 CHDO</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Increase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Improve Access to and Quality of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HOME: $80,986</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line="310" w:lineRule="atLeast" w:before="60"/>
              <w:ind w:left="112" w:right="1015"/>
              <w:rPr>
                <w:sz w:val="22"/>
              </w:rPr>
            </w:pPr>
            <w:r>
              <w:rPr>
                <w:sz w:val="22"/>
              </w:rPr>
              <w:t>New construction, acquisition, and rehabilitation of homebuyer and rental properties in collaboration with CHDOs.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It is anticipated one low income household will benefit</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The CHDO activity will take place within the city limits.</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line="310" w:lineRule="atLeast" w:before="60"/>
              <w:ind w:left="112" w:right="1015"/>
              <w:rPr>
                <w:sz w:val="22"/>
              </w:rPr>
            </w:pPr>
            <w:r>
              <w:rPr>
                <w:sz w:val="22"/>
              </w:rPr>
              <w:t>New construction, acquisition, and rehabilitation of homebuyer and rental properties in collaboration with CHDOs.</w:t>
            </w:r>
          </w:p>
        </w:tc>
      </w:tr>
      <w:tr>
        <w:trPr>
          <w:trHeight w:val="403" w:hRule="atLeast"/>
        </w:trPr>
        <w:tc>
          <w:tcPr>
            <w:tcW w:w="440" w:type="dxa"/>
            <w:vMerge w:val="restart"/>
          </w:tcPr>
          <w:p>
            <w:pPr>
              <w:pStyle w:val="TableParagraph"/>
              <w:spacing w:before="1"/>
              <w:ind w:left="112"/>
              <w:rPr>
                <w:b/>
                <w:sz w:val="22"/>
              </w:rPr>
            </w:pPr>
            <w:r>
              <w:rPr>
                <w:b/>
                <w:sz w:val="22"/>
              </w:rPr>
              <w:t>2</w:t>
            </w:r>
          </w:p>
          <w:p>
            <w:pPr>
              <w:pStyle w:val="TableParagraph"/>
              <w:spacing w:before="41"/>
              <w:ind w:left="112"/>
              <w:rPr>
                <w:b/>
                <w:sz w:val="22"/>
              </w:rPr>
            </w:pPr>
            <w:r>
              <w:rPr>
                <w:b/>
                <w:sz w:val="22"/>
              </w:rPr>
              <w:t>0</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2025 HOME Rental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bl>
    <w:p>
      <w:pPr>
        <w:spacing w:after="0"/>
        <w:rPr>
          <w:sz w:val="22"/>
        </w:rPr>
        <w:sectPr>
          <w:headerReference w:type="default" r:id="rId189"/>
          <w:footerReference w:type="default" r:id="rId190"/>
          <w:pgSz w:w="15840" w:h="12240" w:orient="landscape"/>
          <w:pgMar w:header="0" w:footer="992" w:top="1140" w:bottom="1180" w:left="1220" w:right="1440"/>
          <w:pgNumType w:start="138"/>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403" w:hRule="atLeast"/>
        </w:trPr>
        <w:tc>
          <w:tcPr>
            <w:tcW w:w="440" w:type="dxa"/>
            <w:vMerge w:val="restart"/>
          </w:tcPr>
          <w:p>
            <w:pPr>
              <w:pStyle w:val="TableParagraph"/>
              <w:rPr>
                <w:rFonts w:ascii="Times New Roman"/>
                <w:sz w:val="20"/>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Affordable rental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Improve Access to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HOME: $202,462.35</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before="101"/>
              <w:ind w:left="112"/>
              <w:rPr>
                <w:sz w:val="22"/>
              </w:rPr>
            </w:pPr>
            <w:r>
              <w:rPr>
                <w:sz w:val="22"/>
              </w:rPr>
              <w:t>Tenant-based rental assistance and rental unit construction.</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Approximately 41 low to moderate income households.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before="101"/>
              <w:ind w:left="112"/>
              <w:rPr>
                <w:sz w:val="22"/>
              </w:rPr>
            </w:pPr>
            <w:r>
              <w:rPr>
                <w:sz w:val="22"/>
              </w:rPr>
              <w:t>Tenant-based rental assistance and rental unit construction.</w:t>
            </w:r>
          </w:p>
        </w:tc>
      </w:tr>
      <w:tr>
        <w:trPr>
          <w:trHeight w:val="403" w:hRule="atLeast"/>
        </w:trPr>
        <w:tc>
          <w:tcPr>
            <w:tcW w:w="440" w:type="dxa"/>
            <w:vMerge w:val="restart"/>
          </w:tcPr>
          <w:p>
            <w:pPr>
              <w:pStyle w:val="TableParagraph"/>
              <w:spacing w:before="1"/>
              <w:ind w:left="112"/>
              <w:rPr>
                <w:b/>
                <w:sz w:val="22"/>
              </w:rPr>
            </w:pPr>
            <w:r>
              <w:rPr>
                <w:b/>
                <w:sz w:val="22"/>
              </w:rPr>
              <w:t>2</w:t>
            </w:r>
          </w:p>
          <w:p>
            <w:pPr>
              <w:pStyle w:val="TableParagraph"/>
              <w:spacing w:before="41"/>
              <w:ind w:left="112"/>
              <w:rPr>
                <w:b/>
                <w:sz w:val="22"/>
              </w:rPr>
            </w:pPr>
            <w:r>
              <w:rPr>
                <w:b/>
                <w:sz w:val="22"/>
              </w:rPr>
              <w:t>1</w:t>
            </w:r>
          </w:p>
        </w:tc>
        <w:tc>
          <w:tcPr>
            <w:tcW w:w="3508" w:type="dxa"/>
          </w:tcPr>
          <w:p>
            <w:pPr>
              <w:pStyle w:val="TableParagraph"/>
              <w:spacing w:before="101"/>
              <w:ind w:left="112"/>
              <w:rPr>
                <w:b/>
                <w:sz w:val="22"/>
              </w:rPr>
            </w:pPr>
            <w:r>
              <w:rPr>
                <w:b/>
                <w:sz w:val="22"/>
              </w:rPr>
              <w:t>Project Name</w:t>
            </w:r>
          </w:p>
        </w:tc>
        <w:tc>
          <w:tcPr>
            <w:tcW w:w="9002" w:type="dxa"/>
          </w:tcPr>
          <w:p>
            <w:pPr>
              <w:pStyle w:val="TableParagraph"/>
              <w:spacing w:before="101"/>
              <w:ind w:left="112"/>
              <w:rPr>
                <w:sz w:val="22"/>
              </w:rPr>
            </w:pPr>
            <w:r>
              <w:rPr>
                <w:sz w:val="22"/>
              </w:rPr>
              <w:t>2025 HOME Homeowner Activities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Area</w:t>
            </w:r>
          </w:p>
        </w:tc>
        <w:tc>
          <w:tcPr>
            <w:tcW w:w="9002" w:type="dxa"/>
          </w:tcPr>
          <w:p>
            <w:pPr>
              <w:pStyle w:val="TableParagraph"/>
              <w:spacing w:before="101"/>
              <w:ind w:left="112"/>
              <w:rPr>
                <w:sz w:val="22"/>
              </w:rPr>
            </w:pPr>
            <w:r>
              <w:rPr>
                <w:sz w:val="22"/>
              </w:rPr>
              <w:t>City-wide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Goals Supported</w:t>
            </w:r>
          </w:p>
        </w:tc>
        <w:tc>
          <w:tcPr>
            <w:tcW w:w="9002" w:type="dxa"/>
          </w:tcPr>
          <w:p>
            <w:pPr>
              <w:pStyle w:val="TableParagraph"/>
              <w:spacing w:before="101"/>
              <w:ind w:left="112"/>
              <w:rPr>
                <w:sz w:val="22"/>
              </w:rPr>
            </w:pPr>
            <w:r>
              <w:rPr>
                <w:sz w:val="22"/>
              </w:rPr>
              <w:t>Homeownership assistance</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Needs Addressed</w:t>
            </w:r>
          </w:p>
        </w:tc>
        <w:tc>
          <w:tcPr>
            <w:tcW w:w="9002" w:type="dxa"/>
          </w:tcPr>
          <w:p>
            <w:pPr>
              <w:pStyle w:val="TableParagraph"/>
              <w:spacing w:before="101"/>
              <w:ind w:left="112"/>
              <w:rPr>
                <w:sz w:val="22"/>
              </w:rPr>
            </w:pPr>
            <w:r>
              <w:rPr>
                <w:sz w:val="22"/>
              </w:rPr>
              <w:t>Improve Access to Affordable Housing</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Funding</w:t>
            </w:r>
          </w:p>
        </w:tc>
        <w:tc>
          <w:tcPr>
            <w:tcW w:w="9002" w:type="dxa"/>
          </w:tcPr>
          <w:p>
            <w:pPr>
              <w:pStyle w:val="TableParagraph"/>
              <w:spacing w:before="101"/>
              <w:ind w:left="112"/>
              <w:rPr>
                <w:sz w:val="22"/>
              </w:rPr>
            </w:pPr>
            <w:r>
              <w:rPr>
                <w:sz w:val="22"/>
              </w:rPr>
              <w:t>HOME: $202,462.35</w:t>
            </w:r>
          </w:p>
        </w:tc>
      </w:tr>
      <w:tr>
        <w:trPr>
          <w:trHeight w:val="712"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Description</w:t>
            </w:r>
          </w:p>
        </w:tc>
        <w:tc>
          <w:tcPr>
            <w:tcW w:w="9002" w:type="dxa"/>
          </w:tcPr>
          <w:p>
            <w:pPr>
              <w:pStyle w:val="TableParagraph"/>
              <w:spacing w:line="310" w:lineRule="atLeast" w:before="60"/>
              <w:ind w:left="112" w:right="833"/>
              <w:rPr>
                <w:sz w:val="22"/>
              </w:rPr>
            </w:pPr>
            <w:r>
              <w:rPr>
                <w:sz w:val="22"/>
              </w:rPr>
              <w:t>Funding will be used towards the New Construction, Acquisition, rehabilitation, and down payment assistance of homebuyer properties.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Target Date</w:t>
            </w:r>
          </w:p>
        </w:tc>
        <w:tc>
          <w:tcPr>
            <w:tcW w:w="9002" w:type="dxa"/>
          </w:tcPr>
          <w:p>
            <w:pPr>
              <w:pStyle w:val="TableParagraph"/>
              <w:spacing w:before="101"/>
              <w:ind w:left="112"/>
              <w:rPr>
                <w:sz w:val="22"/>
              </w:rPr>
            </w:pPr>
            <w:r>
              <w:rPr>
                <w:sz w:val="22"/>
              </w:rPr>
              <w:t>12/31/2026</w:t>
            </w:r>
          </w:p>
        </w:tc>
      </w:tr>
      <w:tr>
        <w:trPr>
          <w:trHeight w:val="1021" w:hRule="atLeast"/>
        </w:trPr>
        <w:tc>
          <w:tcPr>
            <w:tcW w:w="440" w:type="dxa"/>
            <w:vMerge/>
            <w:tcBorders>
              <w:top w:val="nil"/>
            </w:tcBorders>
          </w:tcPr>
          <w:p>
            <w:pPr>
              <w:rPr>
                <w:sz w:val="2"/>
                <w:szCs w:val="2"/>
              </w:rPr>
            </w:pPr>
          </w:p>
        </w:tc>
        <w:tc>
          <w:tcPr>
            <w:tcW w:w="3508" w:type="dxa"/>
          </w:tcPr>
          <w:p>
            <w:pPr>
              <w:pStyle w:val="TableParagraph"/>
              <w:spacing w:line="310" w:lineRule="atLeast" w:before="60"/>
              <w:ind w:left="112" w:right="299"/>
              <w:jc w:val="both"/>
              <w:rPr>
                <w:b/>
                <w:sz w:val="22"/>
              </w:rPr>
            </w:pPr>
            <w:r>
              <w:rPr>
                <w:b/>
                <w:sz w:val="22"/>
              </w:rPr>
              <w:t>Estimate the number and type of families that will benefit from the proposed activities</w:t>
            </w:r>
          </w:p>
        </w:tc>
        <w:tc>
          <w:tcPr>
            <w:tcW w:w="9002" w:type="dxa"/>
          </w:tcPr>
          <w:p>
            <w:pPr>
              <w:pStyle w:val="TableParagraph"/>
              <w:spacing w:before="101"/>
              <w:ind w:left="112"/>
              <w:rPr>
                <w:sz w:val="22"/>
              </w:rPr>
            </w:pPr>
            <w:r>
              <w:rPr>
                <w:sz w:val="22"/>
              </w:rPr>
              <w:t>Approximately 4-6 low to moderate income households.</w:t>
            </w:r>
          </w:p>
        </w:tc>
      </w:tr>
      <w:tr>
        <w:trPr>
          <w:trHeight w:val="403" w:hRule="atLeast"/>
        </w:trPr>
        <w:tc>
          <w:tcPr>
            <w:tcW w:w="440" w:type="dxa"/>
            <w:vMerge/>
            <w:tcBorders>
              <w:top w:val="nil"/>
            </w:tcBorders>
          </w:tcPr>
          <w:p>
            <w:pPr>
              <w:rPr>
                <w:sz w:val="2"/>
                <w:szCs w:val="2"/>
              </w:rPr>
            </w:pPr>
          </w:p>
        </w:tc>
        <w:tc>
          <w:tcPr>
            <w:tcW w:w="3508" w:type="dxa"/>
          </w:tcPr>
          <w:p>
            <w:pPr>
              <w:pStyle w:val="TableParagraph"/>
              <w:spacing w:before="101"/>
              <w:ind w:left="112"/>
              <w:rPr>
                <w:b/>
                <w:sz w:val="22"/>
              </w:rPr>
            </w:pPr>
            <w:r>
              <w:rPr>
                <w:b/>
                <w:sz w:val="22"/>
              </w:rPr>
              <w:t>Location Description</w:t>
            </w:r>
          </w:p>
        </w:tc>
        <w:tc>
          <w:tcPr>
            <w:tcW w:w="9002" w:type="dxa"/>
          </w:tcPr>
          <w:p>
            <w:pPr>
              <w:pStyle w:val="TableParagraph"/>
              <w:spacing w:before="101"/>
              <w:ind w:left="112"/>
              <w:rPr>
                <w:sz w:val="22"/>
              </w:rPr>
            </w:pPr>
            <w:r>
              <w:rPr>
                <w:sz w:val="22"/>
              </w:rPr>
              <w:t>Households receiving funding for rehab programming are scattered through Bloomington.</w:t>
            </w:r>
          </w:p>
        </w:tc>
      </w:tr>
    </w:tbl>
    <w:p>
      <w:pPr>
        <w:spacing w:after="0"/>
        <w:rPr>
          <w:sz w:val="22"/>
        </w:rPr>
        <w:sectPr>
          <w:headerReference w:type="default" r:id="rId191"/>
          <w:footerReference w:type="default" r:id="rId192"/>
          <w:pgSz w:w="15840" w:h="12240" w:orient="landscape"/>
          <w:pgMar w:header="0" w:footer="992" w:top="1140" w:bottom="1180" w:left="1220" w:right="1440"/>
          <w:pgNumType w:start="139"/>
        </w:sectPr>
      </w:pPr>
    </w:p>
    <w:p>
      <w:pPr>
        <w:pStyle w:val="BodyText"/>
        <w:spacing w:before="2"/>
        <w:rPr>
          <w:b/>
          <w:sz w:val="24"/>
        </w:r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40"/>
        <w:gridCol w:w="3508"/>
        <w:gridCol w:w="9002"/>
      </w:tblGrid>
      <w:tr>
        <w:trPr>
          <w:trHeight w:val="712" w:hRule="atLeast"/>
        </w:trPr>
        <w:tc>
          <w:tcPr>
            <w:tcW w:w="440" w:type="dxa"/>
          </w:tcPr>
          <w:p>
            <w:pPr>
              <w:pStyle w:val="TableParagraph"/>
              <w:rPr>
                <w:rFonts w:ascii="Times New Roman"/>
                <w:sz w:val="20"/>
              </w:rPr>
            </w:pPr>
          </w:p>
        </w:tc>
        <w:tc>
          <w:tcPr>
            <w:tcW w:w="3508" w:type="dxa"/>
          </w:tcPr>
          <w:p>
            <w:pPr>
              <w:pStyle w:val="TableParagraph"/>
              <w:spacing w:before="101"/>
              <w:ind w:left="112"/>
              <w:rPr>
                <w:b/>
                <w:sz w:val="22"/>
              </w:rPr>
            </w:pPr>
            <w:r>
              <w:rPr>
                <w:b/>
                <w:sz w:val="22"/>
              </w:rPr>
              <w:t>Planned Activities</w:t>
            </w:r>
          </w:p>
        </w:tc>
        <w:tc>
          <w:tcPr>
            <w:tcW w:w="9002" w:type="dxa"/>
          </w:tcPr>
          <w:p>
            <w:pPr>
              <w:pStyle w:val="TableParagraph"/>
              <w:spacing w:line="310" w:lineRule="atLeast" w:before="60"/>
              <w:ind w:left="112" w:right="817"/>
              <w:rPr>
                <w:sz w:val="22"/>
              </w:rPr>
            </w:pPr>
            <w:r>
              <w:rPr>
                <w:sz w:val="22"/>
              </w:rPr>
              <w:t>New construction, acquisition, rehabilitation and down payment assistance of homebuyer properties.</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tabs>
          <w:tab w:pos="5859" w:val="left" w:leader="none"/>
          <w:tab w:pos="11453" w:val="right" w:leader="none"/>
        </w:tabs>
        <w:spacing w:before="206"/>
        <w:ind w:left="1946"/>
      </w:pPr>
      <w:r>
        <w:rPr/>
        <w:t>Consolidated Plan</w:t>
        <w:tab/>
        <w:t>BLOOMINGTON</w:t>
        <w:tab/>
        <w:t>140</w:t>
      </w:r>
    </w:p>
    <w:p>
      <w:pPr>
        <w:spacing w:after="0"/>
        <w:sectPr>
          <w:headerReference w:type="default" r:id="rId193"/>
          <w:footerReference w:type="default" r:id="rId194"/>
          <w:pgSz w:w="15840" w:h="12240" w:orient="landscape"/>
          <w:pgMar w:header="0" w:footer="726" w:top="1140" w:bottom="920" w:left="1220" w:right="1440"/>
        </w:sectPr>
      </w:pPr>
    </w:p>
    <w:p>
      <w:pPr>
        <w:pStyle w:val="Heading1"/>
        <w:spacing w:before="106"/>
      </w:pPr>
      <w:bookmarkStart w:name="_TOC_250003" w:id="19"/>
      <w:bookmarkEnd w:id="19"/>
      <w:r>
        <w:rPr>
          <w:color w:val="0E4661"/>
        </w:rPr>
        <w:t>AP-50 Geographic Distribution – 91.220(f)</w:t>
      </w:r>
    </w:p>
    <w:p>
      <w:pPr>
        <w:pStyle w:val="Heading4"/>
        <w:spacing w:line="276" w:lineRule="auto" w:before="137"/>
        <w:ind w:right="477"/>
      </w:pPr>
      <w:r>
        <w:rPr/>
        <w:t>Description of the geographic areas of the entitlement (including areas of low-income and minority concentration) where assistance will be directed</w:t>
      </w:r>
    </w:p>
    <w:p>
      <w:pPr>
        <w:pStyle w:val="BodyText"/>
        <w:spacing w:before="11"/>
        <w:rPr>
          <w:b/>
        </w:rPr>
      </w:pPr>
    </w:p>
    <w:p>
      <w:pPr>
        <w:pStyle w:val="BodyText"/>
        <w:spacing w:line="276" w:lineRule="auto"/>
        <w:ind w:left="220" w:right="739"/>
      </w:pPr>
      <w:r>
        <w:rPr/>
        <w:t>To the degree possible, the City of Bloomington will fund projects community-wide in an effort to continue to de-concentrate poverty.</w:t>
      </w:r>
    </w:p>
    <w:p>
      <w:pPr>
        <w:pStyle w:val="BodyText"/>
        <w:spacing w:before="11"/>
      </w:pPr>
    </w:p>
    <w:p>
      <w:pPr>
        <w:pStyle w:val="Heading4"/>
        <w:spacing w:before="1"/>
      </w:pPr>
      <w:r>
        <w:rPr/>
        <w:t>Geographic Distribution</w:t>
      </w:r>
    </w:p>
    <w:p>
      <w:pPr>
        <w:pStyle w:val="BodyText"/>
        <w:spacing w:before="7"/>
        <w:rPr>
          <w:b/>
          <w:sz w:val="19"/>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84"/>
        <w:gridCol w:w="2074"/>
      </w:tblGrid>
      <w:tr>
        <w:trPr>
          <w:trHeight w:val="532" w:hRule="atLeast"/>
        </w:trPr>
        <w:tc>
          <w:tcPr>
            <w:tcW w:w="1284" w:type="dxa"/>
          </w:tcPr>
          <w:p>
            <w:pPr>
              <w:pStyle w:val="TableParagraph"/>
              <w:spacing w:line="270" w:lineRule="atLeast"/>
              <w:ind w:left="424" w:right="316" w:hanging="79"/>
              <w:rPr>
                <w:b/>
                <w:sz w:val="22"/>
              </w:rPr>
            </w:pPr>
            <w:r>
              <w:rPr>
                <w:b/>
                <w:sz w:val="22"/>
              </w:rPr>
              <w:t>Target Area</w:t>
            </w:r>
          </w:p>
        </w:tc>
        <w:tc>
          <w:tcPr>
            <w:tcW w:w="2074" w:type="dxa"/>
          </w:tcPr>
          <w:p>
            <w:pPr>
              <w:pStyle w:val="TableParagraph"/>
              <w:spacing w:line="270" w:lineRule="atLeast"/>
              <w:ind w:left="763" w:right="372" w:hanging="361"/>
              <w:rPr>
                <w:b/>
                <w:sz w:val="22"/>
              </w:rPr>
            </w:pPr>
            <w:r>
              <w:rPr>
                <w:b/>
                <w:sz w:val="22"/>
              </w:rPr>
              <w:t>Percentage of Funds</w:t>
            </w:r>
          </w:p>
        </w:tc>
      </w:tr>
      <w:tr>
        <w:trPr>
          <w:trHeight w:val="255" w:hRule="atLeast"/>
        </w:trPr>
        <w:tc>
          <w:tcPr>
            <w:tcW w:w="1284" w:type="dxa"/>
          </w:tcPr>
          <w:p>
            <w:pPr>
              <w:pStyle w:val="TableParagraph"/>
              <w:rPr>
                <w:rFonts w:ascii="Times New Roman"/>
                <w:sz w:val="18"/>
              </w:rPr>
            </w:pPr>
          </w:p>
        </w:tc>
        <w:tc>
          <w:tcPr>
            <w:tcW w:w="2074" w:type="dxa"/>
          </w:tcPr>
          <w:p>
            <w:pPr>
              <w:pStyle w:val="TableParagraph"/>
              <w:rPr>
                <w:rFonts w:ascii="Times New Roman"/>
                <w:sz w:val="18"/>
              </w:rPr>
            </w:pPr>
          </w:p>
        </w:tc>
      </w:tr>
    </w:tbl>
    <w:p>
      <w:pPr>
        <w:spacing w:before="0"/>
        <w:ind w:left="220" w:right="0" w:firstLine="0"/>
        <w:jc w:val="left"/>
        <w:rPr>
          <w:rFonts w:ascii="Cambria"/>
          <w:b/>
          <w:sz w:val="20"/>
        </w:rPr>
      </w:pPr>
      <w:r>
        <w:rPr>
          <w:rFonts w:ascii="Cambria"/>
          <w:b/>
          <w:sz w:val="20"/>
        </w:rPr>
        <w:t>Table 62 - Geographic Distribution</w:t>
      </w:r>
    </w:p>
    <w:p>
      <w:pPr>
        <w:pStyle w:val="BodyText"/>
        <w:spacing w:before="4"/>
        <w:rPr>
          <w:rFonts w:ascii="Cambria"/>
          <w:b/>
          <w:sz w:val="25"/>
        </w:rPr>
      </w:pPr>
    </w:p>
    <w:p>
      <w:pPr>
        <w:pStyle w:val="Heading4"/>
      </w:pPr>
      <w:r>
        <w:rPr/>
        <w:t>Rationale for the priorities for allocating investments geographically</w:t>
      </w:r>
    </w:p>
    <w:p>
      <w:pPr>
        <w:pStyle w:val="BodyText"/>
        <w:spacing w:before="11"/>
        <w:rPr>
          <w:b/>
          <w:sz w:val="19"/>
        </w:rPr>
      </w:pPr>
    </w:p>
    <w:p>
      <w:pPr>
        <w:pStyle w:val="BodyText"/>
        <w:spacing w:line="276" w:lineRule="auto" w:before="1"/>
        <w:ind w:left="220" w:right="478"/>
      </w:pPr>
      <w:r>
        <w:rPr/>
        <w:t>Federal funds are intended to provide LMI households with viable communities, including decent housing, a suitable living environment, and expanded economic opportunities. The system for establishing the priority selection of these projects in Bloomington is based on the following criteria:</w:t>
      </w:r>
    </w:p>
    <w:p>
      <w:pPr>
        <w:pStyle w:val="ListParagraph"/>
        <w:numPr>
          <w:ilvl w:val="0"/>
          <w:numId w:val="15"/>
        </w:numPr>
        <w:tabs>
          <w:tab w:pos="939" w:val="left" w:leader="none"/>
          <w:tab w:pos="940" w:val="left" w:leader="none"/>
        </w:tabs>
        <w:spacing w:line="240" w:lineRule="auto" w:before="196" w:after="0"/>
        <w:ind w:left="940" w:right="0" w:hanging="360"/>
        <w:jc w:val="left"/>
        <w:rPr>
          <w:sz w:val="22"/>
        </w:rPr>
      </w:pPr>
      <w:r>
        <w:rPr>
          <w:position w:val="1"/>
          <w:sz w:val="22"/>
        </w:rPr>
        <w:t>Meeting the needs of LMI residents and responding to expressed needs</w:t>
      </w:r>
    </w:p>
    <w:p>
      <w:pPr>
        <w:pStyle w:val="ListParagraph"/>
        <w:numPr>
          <w:ilvl w:val="0"/>
          <w:numId w:val="15"/>
        </w:numPr>
        <w:tabs>
          <w:tab w:pos="939" w:val="left" w:leader="none"/>
          <w:tab w:pos="940" w:val="left" w:leader="none"/>
        </w:tabs>
        <w:spacing w:line="240" w:lineRule="auto" w:before="39" w:after="0"/>
        <w:ind w:left="940" w:right="0" w:hanging="360"/>
        <w:jc w:val="left"/>
        <w:rPr>
          <w:sz w:val="22"/>
        </w:rPr>
      </w:pPr>
      <w:r>
        <w:rPr>
          <w:position w:val="1"/>
          <w:sz w:val="22"/>
        </w:rPr>
        <w:t>Sustainability and/or long-term impact</w:t>
      </w:r>
    </w:p>
    <w:p>
      <w:pPr>
        <w:pStyle w:val="ListParagraph"/>
        <w:numPr>
          <w:ilvl w:val="0"/>
          <w:numId w:val="15"/>
        </w:numPr>
        <w:tabs>
          <w:tab w:pos="939" w:val="left" w:leader="none"/>
          <w:tab w:pos="940" w:val="left" w:leader="none"/>
        </w:tabs>
        <w:spacing w:line="240" w:lineRule="auto" w:before="40" w:after="0"/>
        <w:ind w:left="940" w:right="0" w:hanging="360"/>
        <w:jc w:val="left"/>
        <w:rPr>
          <w:sz w:val="22"/>
        </w:rPr>
      </w:pPr>
      <w:r>
        <w:rPr>
          <w:position w:val="1"/>
          <w:sz w:val="22"/>
        </w:rPr>
        <w:t>Coordinating and leveraging resources</w:t>
      </w:r>
    </w:p>
    <w:p>
      <w:pPr>
        <w:pStyle w:val="ListParagraph"/>
        <w:numPr>
          <w:ilvl w:val="0"/>
          <w:numId w:val="15"/>
        </w:numPr>
        <w:tabs>
          <w:tab w:pos="939" w:val="left" w:leader="none"/>
          <w:tab w:pos="940" w:val="left" w:leader="none"/>
        </w:tabs>
        <w:spacing w:line="240" w:lineRule="auto" w:before="40" w:after="0"/>
        <w:ind w:left="940" w:right="0" w:hanging="360"/>
        <w:jc w:val="left"/>
        <w:rPr>
          <w:sz w:val="22"/>
        </w:rPr>
      </w:pPr>
      <w:r>
        <w:rPr>
          <w:position w:val="1"/>
          <w:sz w:val="22"/>
        </w:rPr>
        <w:t>The ability to demonstrate measurable progress and success</w:t>
      </w:r>
    </w:p>
    <w:p>
      <w:pPr>
        <w:pStyle w:val="ListParagraph"/>
        <w:numPr>
          <w:ilvl w:val="0"/>
          <w:numId w:val="15"/>
        </w:numPr>
        <w:tabs>
          <w:tab w:pos="939" w:val="left" w:leader="none"/>
          <w:tab w:pos="940" w:val="left" w:leader="none"/>
        </w:tabs>
        <w:spacing w:line="240" w:lineRule="auto" w:before="39" w:after="0"/>
        <w:ind w:left="940" w:right="0" w:hanging="360"/>
        <w:jc w:val="left"/>
        <w:rPr>
          <w:sz w:val="22"/>
        </w:rPr>
      </w:pPr>
      <w:r>
        <w:rPr>
          <w:position w:val="1"/>
          <w:sz w:val="22"/>
        </w:rPr>
        <w:t>Meeting the statutory requirements of the CDBG and HOME programs</w:t>
      </w:r>
    </w:p>
    <w:p>
      <w:pPr>
        <w:spacing w:after="0" w:line="240" w:lineRule="auto"/>
        <w:jc w:val="left"/>
        <w:rPr>
          <w:sz w:val="22"/>
        </w:rPr>
        <w:sectPr>
          <w:headerReference w:type="default" r:id="rId195"/>
          <w:footerReference w:type="default" r:id="rId196"/>
          <w:pgSz w:w="12240" w:h="15840"/>
          <w:pgMar w:header="0" w:footer="1340" w:top="1500" w:bottom="1540" w:left="1220" w:right="1340"/>
          <w:pgNumType w:start="141"/>
        </w:sectPr>
      </w:pPr>
    </w:p>
    <w:p>
      <w:pPr>
        <w:pStyle w:val="Heading2"/>
        <w:ind w:left="201" w:right="154"/>
      </w:pPr>
      <w:bookmarkStart w:name="_TOC_250002" w:id="20"/>
      <w:bookmarkEnd w:id="20"/>
      <w:r>
        <w:rPr/>
        <w:t>Affordable Housing</w:t>
      </w:r>
    </w:p>
    <w:p>
      <w:pPr>
        <w:pStyle w:val="Heading1"/>
        <w:spacing w:before="218"/>
      </w:pPr>
      <w:bookmarkStart w:name="_TOC_250001" w:id="21"/>
      <w:bookmarkEnd w:id="21"/>
      <w:r>
        <w:rPr>
          <w:color w:val="0E4661"/>
        </w:rPr>
        <w:t>AP-55 Affordable Housing – 91.220(g)</w:t>
      </w:r>
    </w:p>
    <w:p>
      <w:pPr>
        <w:pStyle w:val="Heading4"/>
        <w:spacing w:before="137"/>
      </w:pPr>
      <w:r>
        <w:rPr/>
        <w:t>Introduction</w:t>
      </w:r>
    </w:p>
    <w:p>
      <w:pPr>
        <w:pStyle w:val="BodyText"/>
        <w:spacing w:before="5"/>
        <w:rPr>
          <w:b/>
          <w:sz w:val="12"/>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73"/>
      </w:tblGrid>
      <w:tr>
        <w:trPr>
          <w:trHeight w:val="263" w:hRule="atLeast"/>
        </w:trPr>
        <w:tc>
          <w:tcPr>
            <w:tcW w:w="6473" w:type="dxa"/>
          </w:tcPr>
          <w:p>
            <w:pPr>
              <w:pStyle w:val="TableParagraph"/>
              <w:spacing w:line="242" w:lineRule="exact" w:before="1"/>
              <w:ind w:left="355"/>
              <w:rPr>
                <w:b/>
                <w:sz w:val="22"/>
              </w:rPr>
            </w:pPr>
            <w:r>
              <w:rPr>
                <w:b/>
                <w:sz w:val="22"/>
              </w:rPr>
              <w:t>One Year Goals for the Number of Households to be Supported</w:t>
            </w:r>
          </w:p>
        </w:tc>
      </w:tr>
      <w:tr>
        <w:trPr>
          <w:trHeight w:val="263" w:hRule="atLeast"/>
        </w:trPr>
        <w:tc>
          <w:tcPr>
            <w:tcW w:w="6473" w:type="dxa"/>
          </w:tcPr>
          <w:p>
            <w:pPr>
              <w:pStyle w:val="TableParagraph"/>
              <w:tabs>
                <w:tab w:pos="4965" w:val="left" w:leader="none"/>
              </w:tabs>
              <w:spacing w:line="242" w:lineRule="exact" w:before="1"/>
              <w:ind w:left="112"/>
              <w:rPr>
                <w:sz w:val="22"/>
              </w:rPr>
            </w:pPr>
            <w:r>
              <w:rPr>
                <w:sz w:val="22"/>
              </w:rPr>
              <w:t>Homeless</w:t>
              <w:tab/>
              <w:t>0</w:t>
            </w:r>
          </w:p>
        </w:tc>
      </w:tr>
      <w:tr>
        <w:trPr>
          <w:trHeight w:val="263" w:hRule="atLeast"/>
        </w:trPr>
        <w:tc>
          <w:tcPr>
            <w:tcW w:w="6473" w:type="dxa"/>
          </w:tcPr>
          <w:p>
            <w:pPr>
              <w:pStyle w:val="TableParagraph"/>
              <w:tabs>
                <w:tab w:pos="5188" w:val="right" w:leader="none"/>
              </w:tabs>
              <w:spacing w:line="242" w:lineRule="exact" w:before="1"/>
              <w:ind w:left="112"/>
              <w:rPr>
                <w:sz w:val="22"/>
              </w:rPr>
            </w:pPr>
            <w:r>
              <w:rPr>
                <w:sz w:val="22"/>
              </w:rPr>
              <w:t>Non-Homeless</w:t>
              <w:tab/>
              <w:t>10</w:t>
            </w:r>
          </w:p>
        </w:tc>
      </w:tr>
      <w:tr>
        <w:trPr>
          <w:trHeight w:val="263" w:hRule="atLeast"/>
        </w:trPr>
        <w:tc>
          <w:tcPr>
            <w:tcW w:w="6473" w:type="dxa"/>
          </w:tcPr>
          <w:p>
            <w:pPr>
              <w:pStyle w:val="TableParagraph"/>
              <w:tabs>
                <w:tab w:pos="4965" w:val="left" w:leader="none"/>
              </w:tabs>
              <w:spacing w:line="242" w:lineRule="exact" w:before="1"/>
              <w:ind w:left="112"/>
              <w:rPr>
                <w:sz w:val="22"/>
              </w:rPr>
            </w:pPr>
            <w:r>
              <w:rPr>
                <w:sz w:val="22"/>
              </w:rPr>
              <w:t>Special-Needs</w:t>
              <w:tab/>
              <w:t>0</w:t>
            </w:r>
          </w:p>
        </w:tc>
      </w:tr>
      <w:tr>
        <w:trPr>
          <w:trHeight w:val="263" w:hRule="atLeast"/>
        </w:trPr>
        <w:tc>
          <w:tcPr>
            <w:tcW w:w="6473" w:type="dxa"/>
          </w:tcPr>
          <w:p>
            <w:pPr>
              <w:pStyle w:val="TableParagraph"/>
              <w:tabs>
                <w:tab w:pos="5188" w:val="right" w:leader="none"/>
              </w:tabs>
              <w:spacing w:line="242" w:lineRule="exact" w:before="1"/>
              <w:ind w:left="112"/>
              <w:rPr>
                <w:sz w:val="22"/>
              </w:rPr>
            </w:pPr>
            <w:r>
              <w:rPr>
                <w:sz w:val="22"/>
              </w:rPr>
              <w:t>Total</w:t>
              <w:tab/>
              <w:t>10</w:t>
            </w:r>
          </w:p>
        </w:tc>
      </w:tr>
    </w:tbl>
    <w:p>
      <w:pPr>
        <w:spacing w:before="0"/>
        <w:ind w:left="220" w:right="0" w:firstLine="0"/>
        <w:jc w:val="left"/>
        <w:rPr>
          <w:rFonts w:ascii="Cambria"/>
          <w:b/>
          <w:sz w:val="20"/>
        </w:rPr>
      </w:pPr>
      <w:r>
        <w:rPr>
          <w:rFonts w:ascii="Cambria"/>
          <w:b/>
          <w:sz w:val="20"/>
        </w:rPr>
        <w:t>Table 64 - One Year Goals for Affordable Housing by Support Requirement</w:t>
      </w:r>
    </w:p>
    <w:p>
      <w:pPr>
        <w:pStyle w:val="BodyText"/>
        <w:rPr>
          <w:rFonts w:ascii="Cambria"/>
          <w:b/>
          <w:sz w:val="20"/>
        </w:rPr>
      </w:pPr>
    </w:p>
    <w:p>
      <w:pPr>
        <w:pStyle w:val="BodyText"/>
        <w:rPr>
          <w:rFonts w:ascii="Cambria"/>
          <w:b/>
          <w:sz w:val="21"/>
        </w:rPr>
      </w:pPr>
    </w:p>
    <w:tbl>
      <w:tblPr>
        <w:tblW w:w="0" w:type="auto"/>
        <w:jc w:val="left"/>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30"/>
        <w:gridCol w:w="2644"/>
      </w:tblGrid>
      <w:tr>
        <w:trPr>
          <w:trHeight w:val="263" w:hRule="atLeast"/>
        </w:trPr>
        <w:tc>
          <w:tcPr>
            <w:tcW w:w="6474" w:type="dxa"/>
            <w:gridSpan w:val="2"/>
          </w:tcPr>
          <w:p>
            <w:pPr>
              <w:pStyle w:val="TableParagraph"/>
              <w:spacing w:line="242" w:lineRule="exact" w:before="1"/>
              <w:ind w:left="210"/>
              <w:rPr>
                <w:b/>
                <w:sz w:val="22"/>
              </w:rPr>
            </w:pPr>
            <w:r>
              <w:rPr>
                <w:b/>
                <w:sz w:val="22"/>
              </w:rPr>
              <w:t>One Year Goals for the Number of Households Supported Through</w:t>
            </w:r>
          </w:p>
        </w:tc>
      </w:tr>
      <w:tr>
        <w:trPr>
          <w:trHeight w:val="263" w:hRule="atLeast"/>
        </w:trPr>
        <w:tc>
          <w:tcPr>
            <w:tcW w:w="3830" w:type="dxa"/>
            <w:tcBorders>
              <w:right w:val="nil"/>
            </w:tcBorders>
          </w:tcPr>
          <w:p>
            <w:pPr>
              <w:pStyle w:val="TableParagraph"/>
              <w:spacing w:line="242" w:lineRule="exact" w:before="1"/>
              <w:ind w:left="112"/>
              <w:rPr>
                <w:sz w:val="22"/>
              </w:rPr>
            </w:pPr>
            <w:r>
              <w:rPr>
                <w:sz w:val="22"/>
              </w:rPr>
              <w:t>Rental Assistance</w:t>
            </w:r>
          </w:p>
        </w:tc>
        <w:tc>
          <w:tcPr>
            <w:tcW w:w="2644" w:type="dxa"/>
            <w:tcBorders>
              <w:left w:val="nil"/>
            </w:tcBorders>
          </w:tcPr>
          <w:p>
            <w:pPr>
              <w:pStyle w:val="TableParagraph"/>
              <w:spacing w:line="242" w:lineRule="exact" w:before="1"/>
              <w:ind w:left="1142"/>
              <w:rPr>
                <w:sz w:val="22"/>
              </w:rPr>
            </w:pPr>
            <w:r>
              <w:rPr>
                <w:sz w:val="22"/>
              </w:rPr>
              <w:t>0</w:t>
            </w:r>
          </w:p>
        </w:tc>
      </w:tr>
      <w:tr>
        <w:trPr>
          <w:trHeight w:val="263" w:hRule="atLeast"/>
        </w:trPr>
        <w:tc>
          <w:tcPr>
            <w:tcW w:w="3830" w:type="dxa"/>
            <w:tcBorders>
              <w:right w:val="nil"/>
            </w:tcBorders>
          </w:tcPr>
          <w:p>
            <w:pPr>
              <w:pStyle w:val="TableParagraph"/>
              <w:spacing w:line="242" w:lineRule="exact" w:before="1"/>
              <w:ind w:left="112"/>
              <w:rPr>
                <w:sz w:val="22"/>
              </w:rPr>
            </w:pPr>
            <w:r>
              <w:rPr>
                <w:sz w:val="22"/>
              </w:rPr>
              <w:t>The Production of New Units</w:t>
            </w:r>
          </w:p>
        </w:tc>
        <w:tc>
          <w:tcPr>
            <w:tcW w:w="2644" w:type="dxa"/>
            <w:tcBorders>
              <w:left w:val="nil"/>
            </w:tcBorders>
          </w:tcPr>
          <w:p>
            <w:pPr>
              <w:pStyle w:val="TableParagraph"/>
              <w:spacing w:line="242" w:lineRule="exact" w:before="1"/>
              <w:ind w:left="1142"/>
              <w:rPr>
                <w:sz w:val="22"/>
              </w:rPr>
            </w:pPr>
            <w:r>
              <w:rPr>
                <w:sz w:val="22"/>
              </w:rPr>
              <w:t>10</w:t>
            </w:r>
          </w:p>
        </w:tc>
      </w:tr>
      <w:tr>
        <w:trPr>
          <w:trHeight w:val="263" w:hRule="atLeast"/>
        </w:trPr>
        <w:tc>
          <w:tcPr>
            <w:tcW w:w="3830" w:type="dxa"/>
            <w:tcBorders>
              <w:right w:val="nil"/>
            </w:tcBorders>
          </w:tcPr>
          <w:p>
            <w:pPr>
              <w:pStyle w:val="TableParagraph"/>
              <w:spacing w:line="242" w:lineRule="exact" w:before="1"/>
              <w:ind w:left="112"/>
              <w:rPr>
                <w:sz w:val="22"/>
              </w:rPr>
            </w:pPr>
            <w:r>
              <w:rPr>
                <w:sz w:val="22"/>
              </w:rPr>
              <w:t>Rehab of Existing Units</w:t>
            </w:r>
          </w:p>
        </w:tc>
        <w:tc>
          <w:tcPr>
            <w:tcW w:w="2644" w:type="dxa"/>
            <w:tcBorders>
              <w:left w:val="nil"/>
            </w:tcBorders>
          </w:tcPr>
          <w:p>
            <w:pPr>
              <w:pStyle w:val="TableParagraph"/>
              <w:spacing w:line="242" w:lineRule="exact" w:before="1"/>
              <w:ind w:left="1142"/>
              <w:rPr>
                <w:sz w:val="22"/>
              </w:rPr>
            </w:pPr>
            <w:r>
              <w:rPr>
                <w:sz w:val="22"/>
              </w:rPr>
              <w:t>0</w:t>
            </w:r>
          </w:p>
        </w:tc>
      </w:tr>
      <w:tr>
        <w:trPr>
          <w:trHeight w:val="263" w:hRule="atLeast"/>
        </w:trPr>
        <w:tc>
          <w:tcPr>
            <w:tcW w:w="3830" w:type="dxa"/>
            <w:tcBorders>
              <w:right w:val="nil"/>
            </w:tcBorders>
          </w:tcPr>
          <w:p>
            <w:pPr>
              <w:pStyle w:val="TableParagraph"/>
              <w:spacing w:line="242" w:lineRule="exact" w:before="1"/>
              <w:ind w:left="112"/>
              <w:rPr>
                <w:sz w:val="22"/>
              </w:rPr>
            </w:pPr>
            <w:r>
              <w:rPr>
                <w:sz w:val="22"/>
              </w:rPr>
              <w:t>Acquisition of Existing Units</w:t>
            </w:r>
          </w:p>
        </w:tc>
        <w:tc>
          <w:tcPr>
            <w:tcW w:w="2644" w:type="dxa"/>
            <w:tcBorders>
              <w:left w:val="nil"/>
            </w:tcBorders>
          </w:tcPr>
          <w:p>
            <w:pPr>
              <w:pStyle w:val="TableParagraph"/>
              <w:spacing w:line="242" w:lineRule="exact" w:before="1"/>
              <w:ind w:left="1142"/>
              <w:rPr>
                <w:sz w:val="22"/>
              </w:rPr>
            </w:pPr>
            <w:r>
              <w:rPr>
                <w:sz w:val="22"/>
              </w:rPr>
              <w:t>0</w:t>
            </w:r>
          </w:p>
        </w:tc>
      </w:tr>
      <w:tr>
        <w:trPr>
          <w:trHeight w:val="263" w:hRule="atLeast"/>
        </w:trPr>
        <w:tc>
          <w:tcPr>
            <w:tcW w:w="3830" w:type="dxa"/>
            <w:tcBorders>
              <w:right w:val="nil"/>
            </w:tcBorders>
          </w:tcPr>
          <w:p>
            <w:pPr>
              <w:pStyle w:val="TableParagraph"/>
              <w:spacing w:line="242" w:lineRule="exact" w:before="1"/>
              <w:ind w:left="112"/>
              <w:rPr>
                <w:sz w:val="22"/>
              </w:rPr>
            </w:pPr>
            <w:r>
              <w:rPr>
                <w:sz w:val="22"/>
              </w:rPr>
              <w:t>Total</w:t>
            </w:r>
          </w:p>
        </w:tc>
        <w:tc>
          <w:tcPr>
            <w:tcW w:w="2644" w:type="dxa"/>
            <w:tcBorders>
              <w:left w:val="nil"/>
            </w:tcBorders>
          </w:tcPr>
          <w:p>
            <w:pPr>
              <w:pStyle w:val="TableParagraph"/>
              <w:spacing w:line="242" w:lineRule="exact" w:before="1"/>
              <w:ind w:left="1142"/>
              <w:rPr>
                <w:sz w:val="22"/>
              </w:rPr>
            </w:pPr>
            <w:r>
              <w:rPr>
                <w:sz w:val="22"/>
              </w:rPr>
              <w:t>10</w:t>
            </w:r>
          </w:p>
        </w:tc>
      </w:tr>
    </w:tbl>
    <w:p>
      <w:pPr>
        <w:spacing w:before="0"/>
        <w:ind w:left="220" w:right="0" w:firstLine="0"/>
        <w:jc w:val="left"/>
        <w:rPr>
          <w:rFonts w:ascii="Cambria"/>
          <w:b/>
          <w:sz w:val="20"/>
        </w:rPr>
      </w:pPr>
      <w:r>
        <w:rPr>
          <w:rFonts w:ascii="Cambria"/>
          <w:b/>
          <w:sz w:val="20"/>
        </w:rPr>
        <w:t>Table 65 - One Year Goals for Affordable Housing by Support Type</w:t>
      </w:r>
    </w:p>
    <w:p>
      <w:pPr>
        <w:pStyle w:val="Heading4"/>
        <w:spacing w:before="4"/>
      </w:pPr>
      <w:r>
        <w:rPr/>
        <w:t>Discussion</w:t>
      </w:r>
    </w:p>
    <w:p>
      <w:pPr>
        <w:pStyle w:val="BodyText"/>
        <w:spacing w:before="4"/>
        <w:rPr>
          <w:b/>
          <w:sz w:val="19"/>
        </w:rPr>
      </w:pPr>
    </w:p>
    <w:p>
      <w:pPr>
        <w:pStyle w:val="BodyText"/>
        <w:spacing w:line="276" w:lineRule="auto"/>
        <w:ind w:left="580" w:right="147"/>
      </w:pPr>
      <w:r>
        <w:rPr/>
        <w:t>Applicants for HOME funding are accepted on a rolling basis across programs. Website and </w:t>
      </w:r>
      <w:r>
        <w:rPr>
          <w:spacing w:val="-3"/>
        </w:rPr>
        <w:t>word-of- </w:t>
      </w:r>
      <w:r>
        <w:rPr/>
        <w:t>mouth marketing on the developer end has tended to bring in adequate applicant numbers. The City pays particular attention to potential CHDO-eligible applicants and urges them to seek CHDO project status and apply. On the individual end of applicants for items such as rehabilitation, social service agencies are regularly communicated with by City staff and often are the driving force in bringing in applicants via referral. These agencies include Centerstone, for instance, but most direct HAND programming for low-income clients is done through CDBG. The low-income clients must be at 80% or less of the area median income for eligibility.</w:t>
      </w:r>
    </w:p>
    <w:p>
      <w:pPr>
        <w:spacing w:after="0" w:line="276" w:lineRule="auto"/>
        <w:sectPr>
          <w:headerReference w:type="default" r:id="rId197"/>
          <w:footerReference w:type="default" r:id="rId198"/>
          <w:pgSz w:w="12240" w:h="15840"/>
          <w:pgMar w:header="0" w:footer="1340" w:top="1440" w:bottom="1540" w:left="1220" w:right="1340"/>
          <w:pgNumType w:start="142"/>
        </w:sectPr>
      </w:pPr>
    </w:p>
    <w:p>
      <w:pPr>
        <w:pStyle w:val="BodyText"/>
        <w:spacing w:before="1"/>
        <w:rPr>
          <w:sz w:val="15"/>
        </w:rPr>
      </w:pPr>
    </w:p>
    <w:p>
      <w:pPr>
        <w:pStyle w:val="BodyText"/>
        <w:spacing w:line="276" w:lineRule="auto" w:before="56"/>
        <w:ind w:left="220" w:right="1158"/>
      </w:pPr>
      <w:r>
        <w:rPr/>
        <w:t>The Bloomington Housing Authority (BHA) provides public housing services within the City of Bloomington.</w:t>
      </w:r>
    </w:p>
    <w:p>
      <w:pPr>
        <w:pStyle w:val="BodyText"/>
        <w:spacing w:before="11"/>
      </w:pPr>
    </w:p>
    <w:p>
      <w:pPr>
        <w:pStyle w:val="Heading4"/>
        <w:spacing w:before="1"/>
      </w:pPr>
      <w:r>
        <w:rPr/>
        <w:t>Actions planned during the next year to address the needs to public housing</w:t>
      </w:r>
    </w:p>
    <w:p>
      <w:pPr>
        <w:pStyle w:val="BodyText"/>
        <w:spacing w:before="6"/>
        <w:rPr>
          <w:b/>
          <w:sz w:val="26"/>
        </w:rPr>
      </w:pPr>
    </w:p>
    <w:p>
      <w:pPr>
        <w:pStyle w:val="BodyText"/>
        <w:spacing w:line="276" w:lineRule="auto"/>
        <w:ind w:left="220" w:right="148"/>
      </w:pPr>
      <w:r>
        <w:rPr/>
        <w:t>BHA is firmly committed to improving the quality of life for its residents and providing deeply affordable housing to the extremely low and moderately low-income individuals and families. BHA is in the process of converting to Project Based Voucher assistance through the RAD program. For BHA, the RAD conversion allows the authority to secure the financing needed for critical renovations, improving living conditions for residents without raising their rents beyond 30% of their income. The program also preserves the long-term affordability of these units, as residents retain their rental assistance under the Section 8 model, ensuring that vulnerable low-income families continue to have access to safe, affordable housing in Bloomington.</w:t>
      </w:r>
    </w:p>
    <w:p>
      <w:pPr>
        <w:pStyle w:val="BodyText"/>
        <w:spacing w:before="11"/>
      </w:pPr>
    </w:p>
    <w:p>
      <w:pPr>
        <w:pStyle w:val="Heading4"/>
        <w:spacing w:line="276" w:lineRule="auto" w:before="1"/>
        <w:ind w:right="204"/>
      </w:pPr>
      <w:r>
        <w:rPr/>
        <w:t>Actions to encourage public housing residents to become more involved in management and participate in homeownership</w:t>
      </w:r>
    </w:p>
    <w:p>
      <w:pPr>
        <w:pStyle w:val="BodyText"/>
        <w:spacing w:before="10"/>
        <w:rPr>
          <w:b/>
        </w:rPr>
      </w:pPr>
    </w:p>
    <w:p>
      <w:pPr>
        <w:pStyle w:val="BodyText"/>
        <w:spacing w:line="276" w:lineRule="auto" w:before="1"/>
        <w:ind w:left="220" w:right="210"/>
      </w:pPr>
      <w:r>
        <w:rPr/>
        <w:t>The BHA has an established resident council. The council has sponsored activities for the residents such as: Food pantry, Christmas party, Green Welcome Buckets, City Neighborhood Fair at City Hall, Family Night Out, and Back to School Bash, Non-food Pantry and Wonder Women Health Fair. In addition, the BHA has a Family Self-Sufficiency program to allow residents to save funds for future needs (including housing), and while not focused on home ownership – the BHA/City of Bloomington Landlord Risk Mitigation Fund is an effort to reduce risk to secure housing in Bloomington for those who need it. This effort will also include tenant education classes that will, to the extent allowable under Indiana law, discuss the landlord-tenant relationship (outside of BHA management).</w:t>
      </w:r>
    </w:p>
    <w:p>
      <w:pPr>
        <w:pStyle w:val="BodyText"/>
        <w:spacing w:before="11"/>
      </w:pPr>
    </w:p>
    <w:p>
      <w:pPr>
        <w:pStyle w:val="Heading4"/>
        <w:spacing w:line="276" w:lineRule="auto"/>
        <w:ind w:right="133"/>
      </w:pPr>
      <w:r>
        <w:rPr/>
        <w:t>If the PHA is designated as troubled, describe the manner in which financial assistance will be provided or other assistance</w:t>
      </w:r>
    </w:p>
    <w:p>
      <w:pPr>
        <w:pStyle w:val="BodyText"/>
        <w:spacing w:before="200"/>
        <w:ind w:left="220"/>
      </w:pPr>
      <w:r>
        <w:rPr/>
        <w:t>The PHA is not troubled.</w:t>
      </w:r>
    </w:p>
    <w:p>
      <w:pPr>
        <w:spacing w:after="0"/>
        <w:sectPr>
          <w:headerReference w:type="default" r:id="rId199"/>
          <w:footerReference w:type="default" r:id="rId200"/>
          <w:pgSz w:w="12240" w:h="15840"/>
          <w:pgMar w:header="1511" w:footer="1340" w:top="2260" w:bottom="1540" w:left="1220" w:right="1340"/>
          <w:pgNumType w:start="143"/>
        </w:sectPr>
      </w:pPr>
    </w:p>
    <w:p>
      <w:pPr>
        <w:pStyle w:val="BodyText"/>
        <w:spacing w:before="11"/>
        <w:rPr>
          <w:sz w:val="8"/>
        </w:rPr>
      </w:pPr>
    </w:p>
    <w:p>
      <w:pPr>
        <w:pStyle w:val="Heading4"/>
        <w:spacing w:line="276" w:lineRule="auto" w:before="52"/>
        <w:ind w:right="339"/>
      </w:pPr>
      <w:r>
        <w:rPr/>
        <w:t>Describe the jurisdictions one-year goals and actions for reducing and ending homelessness including</w:t>
      </w:r>
    </w:p>
    <w:p>
      <w:pPr>
        <w:spacing w:line="276" w:lineRule="auto" w:before="200"/>
        <w:ind w:left="220" w:right="822" w:firstLine="0"/>
        <w:jc w:val="left"/>
        <w:rPr>
          <w:b/>
          <w:sz w:val="24"/>
        </w:rPr>
      </w:pPr>
      <w:r>
        <w:rPr>
          <w:b/>
          <w:sz w:val="24"/>
        </w:rPr>
        <w:t>Reaching out to homeless persons (especially unsheltered persons) and assessing their individual needs</w:t>
      </w:r>
    </w:p>
    <w:p>
      <w:pPr>
        <w:pStyle w:val="BodyText"/>
        <w:spacing w:line="276" w:lineRule="auto" w:before="199"/>
        <w:ind w:left="220" w:right="279"/>
      </w:pPr>
      <w:r>
        <w:rPr/>
        <w:t>The City of Bloomington participates in the Indiana Balance of State Continuum of Care (BOS CoC). The BOS CoC is divided into 16 regions, with Bloomington being a part of Region 10. Each region has a planning council and chairperson and meets regularly with other councils to develop and implement strategies to alleviate homelessness.</w:t>
      </w:r>
    </w:p>
    <w:p>
      <w:pPr>
        <w:pStyle w:val="BodyText"/>
        <w:spacing w:before="5"/>
        <w:rPr>
          <w:sz w:val="16"/>
        </w:rPr>
      </w:pPr>
    </w:p>
    <w:p>
      <w:pPr>
        <w:pStyle w:val="BodyText"/>
        <w:spacing w:line="276" w:lineRule="auto"/>
        <w:ind w:left="220" w:right="460"/>
      </w:pPr>
      <w:r>
        <w:rPr/>
        <w:t>Shalom Community Center has a Street Outreach Program with caseworkers walking the streets of Bloomington to engage and provide support for people experiencing street homelessness. Services include shelter, counseling, and employment programs. New Hope Family Shelter provides similar services, specifically targeting families, and provides additional resources for children experiencing homelessness at The Nest, including academic, social, and emotional support. Bloomington Housing Authority also conducts community-based outreach clinics to provide service and HCVs for homeless veterans in partnership with the Department of Veterans Affairs.</w:t>
      </w:r>
    </w:p>
    <w:p>
      <w:pPr>
        <w:pStyle w:val="BodyText"/>
        <w:spacing w:before="5"/>
        <w:rPr>
          <w:sz w:val="16"/>
        </w:rPr>
      </w:pPr>
    </w:p>
    <w:p>
      <w:pPr>
        <w:pStyle w:val="Heading4"/>
      </w:pPr>
      <w:r>
        <w:rPr/>
        <w:t>Addressing the emergency shelter and transitional housing needs of homeless persons</w:t>
      </w:r>
    </w:p>
    <w:p>
      <w:pPr>
        <w:pStyle w:val="BodyText"/>
        <w:spacing w:before="11"/>
        <w:rPr>
          <w:b/>
          <w:sz w:val="19"/>
        </w:rPr>
      </w:pPr>
    </w:p>
    <w:p>
      <w:pPr>
        <w:pStyle w:val="BodyText"/>
        <w:spacing w:line="276" w:lineRule="auto" w:before="1"/>
        <w:ind w:left="220"/>
      </w:pPr>
      <w:r>
        <w:rPr/>
        <w:t>The CoC captures Point in Time data, Systems Performance Measures and Coordinated Entry data </w:t>
      </w:r>
      <w:r>
        <w:rPr>
          <w:spacing w:val="-9"/>
        </w:rPr>
        <w:t>to </w:t>
      </w:r>
      <w:r>
        <w:rPr/>
        <w:t>evaluate and understand the emergency needs of persons in the City experiencing homelessness.</w:t>
      </w:r>
    </w:p>
    <w:p>
      <w:pPr>
        <w:pStyle w:val="BodyText"/>
        <w:spacing w:line="276" w:lineRule="auto"/>
        <w:ind w:left="220" w:right="396"/>
      </w:pPr>
      <w:r>
        <w:rPr/>
        <w:t>Emergency shelters and transitional housing programs play a major role in homeless housing services provided in Bloomington. In addition to adults without children, homelessness service providers also specifically target families with children and victims of domestic violence. Supportive services are provided to help guide clients into more permanent housing options, including childcare, job and life skill trainings, education services, and more.</w:t>
      </w:r>
    </w:p>
    <w:p>
      <w:pPr>
        <w:pStyle w:val="BodyText"/>
        <w:spacing w:before="4"/>
        <w:rPr>
          <w:sz w:val="16"/>
        </w:rPr>
      </w:pPr>
    </w:p>
    <w:p>
      <w:pPr>
        <w:pStyle w:val="BodyText"/>
        <w:ind w:left="220"/>
      </w:pPr>
      <w:r>
        <w:rPr/>
        <w:t>In 2025, the City will provide funding to support Beacon’s shelter.</w:t>
      </w:r>
    </w:p>
    <w:p>
      <w:pPr>
        <w:pStyle w:val="BodyText"/>
        <w:spacing w:before="9"/>
        <w:rPr>
          <w:sz w:val="19"/>
        </w:rPr>
      </w:pPr>
    </w:p>
    <w:p>
      <w:pPr>
        <w:pStyle w:val="Heading4"/>
        <w:spacing w:line="276" w:lineRule="auto"/>
        <w:ind w:right="166"/>
      </w:pPr>
      <w:r>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spacing w:after="0" w:line="276" w:lineRule="auto"/>
        <w:sectPr>
          <w:headerReference w:type="default" r:id="rId201"/>
          <w:footerReference w:type="default" r:id="rId202"/>
          <w:pgSz w:w="12240" w:h="15840"/>
          <w:pgMar w:header="1511" w:footer="1340" w:top="2260" w:bottom="1540" w:left="1220" w:right="1340"/>
          <w:pgNumType w:start="144"/>
        </w:sectPr>
      </w:pPr>
    </w:p>
    <w:p>
      <w:pPr>
        <w:pStyle w:val="BodyText"/>
        <w:spacing w:line="276" w:lineRule="auto" w:before="44"/>
        <w:ind w:left="220" w:right="120"/>
      </w:pPr>
      <w:r>
        <w:rPr/>
        <w:t>The Indiana BOS CoC takes a Housing First approach, offering housing to individuals and families experiencing homelessness without preconditions and barriers to entry. Prioritizing rapidly rehousing unsheltered homeless individuals and families intends to make homelessness brief. Creating low-barrier shelter and housing options, including flexible resources to be used to assist in rapidly placing households into housing, is a component of the Housing Action Plan developed by Heading Home of South Central Indiana. Once housed, particularly in permanent housing, case management and other supportive services are crucial to the success of preventing at-risk residents from returning to homeless. Supportive services include financial assistance to obtain housing, individual case management, childcare, employment, healthcare, and education. The Housing Action Plan proposes adding case managers to support this work.</w:t>
      </w:r>
    </w:p>
    <w:p>
      <w:pPr>
        <w:pStyle w:val="BodyText"/>
        <w:spacing w:before="4"/>
        <w:rPr>
          <w:sz w:val="16"/>
        </w:rPr>
      </w:pPr>
    </w:p>
    <w:p>
      <w:pPr>
        <w:pStyle w:val="BodyText"/>
        <w:spacing w:line="276" w:lineRule="auto"/>
        <w:ind w:left="220" w:right="579"/>
      </w:pPr>
      <w:r>
        <w:rPr/>
        <w:t>In 2025, the City will provide funding to support homeless prevention services through Middle Way House.</w:t>
      </w:r>
    </w:p>
    <w:p>
      <w:pPr>
        <w:pStyle w:val="BodyText"/>
        <w:spacing w:before="5"/>
        <w:rPr>
          <w:sz w:val="16"/>
        </w:rPr>
      </w:pPr>
    </w:p>
    <w:p>
      <w:pPr>
        <w:pStyle w:val="Heading4"/>
        <w:spacing w:line="276" w:lineRule="auto" w:before="1"/>
        <w:ind w:right="120"/>
      </w:pPr>
      <w:r>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pPr>
        <w:pStyle w:val="BodyText"/>
        <w:spacing w:line="276" w:lineRule="auto" w:before="199"/>
        <w:ind w:left="220" w:right="130"/>
      </w:pPr>
      <w:r>
        <w:rPr/>
        <w:t>Successful implementation of any strategy addressing homelessness includes stemming inflow of </w:t>
      </w:r>
      <w:r>
        <w:rPr>
          <w:spacing w:val="-3"/>
        </w:rPr>
        <w:t>people </w:t>
      </w:r>
      <w:r>
        <w:rPr/>
        <w:t>experiencing homelessness. Diversion programs are a successful way to prevent episodes of homelessness, particularly for households that are generally stable but experience an unexpected crisis (job loss, health emergency, etc) that places housing in jeopardy. The Housing Action Plan proposes creating flexible funding sources to support people in this endeavor. Such a pot of funding currently does not exist, but helping to provide resources to keep households stable in the face of crisis can be effective in diverting homelessness.</w:t>
      </w:r>
    </w:p>
    <w:p>
      <w:pPr>
        <w:pStyle w:val="BodyText"/>
        <w:spacing w:before="5"/>
        <w:rPr>
          <w:sz w:val="16"/>
        </w:rPr>
      </w:pPr>
    </w:p>
    <w:p>
      <w:pPr>
        <w:pStyle w:val="BodyText"/>
        <w:spacing w:line="276" w:lineRule="auto"/>
        <w:ind w:left="220" w:right="190"/>
      </w:pPr>
      <w:r>
        <w:rPr/>
        <w:t>The City is working diligently to redevelop the former hospital site, which could add up to 1,000 units of housing (with a goal of at least 20% affordable). In addition, the City continues to work with the Bloomington Housing Authority on the Landlord Risk Mitigation Fund, which seeks to provide insurance and risk reduction to property managers and owners to help house those who may have eviction or other risk factors in rental housing. We believe these efforts and more assist those who are housing insecure obtain housing.</w:t>
      </w:r>
    </w:p>
    <w:p>
      <w:pPr>
        <w:spacing w:after="0" w:line="276" w:lineRule="auto"/>
        <w:sectPr>
          <w:headerReference w:type="default" r:id="rId203"/>
          <w:footerReference w:type="default" r:id="rId204"/>
          <w:pgSz w:w="12240" w:h="15840"/>
          <w:pgMar w:header="0" w:footer="1340" w:top="1400" w:bottom="1540" w:left="1220" w:right="1340"/>
          <w:pgNumType w:start="145"/>
        </w:sectPr>
      </w:pPr>
    </w:p>
    <w:p>
      <w:pPr>
        <w:pStyle w:val="BodyText"/>
        <w:spacing w:before="6"/>
        <w:rPr>
          <w:sz w:val="8"/>
        </w:rPr>
      </w:pPr>
    </w:p>
    <w:p>
      <w:pPr>
        <w:pStyle w:val="BodyText"/>
        <w:spacing w:line="276" w:lineRule="auto" w:before="56"/>
        <w:ind w:left="220" w:right="752"/>
      </w:pPr>
      <w:r>
        <w:rPr/>
        <w:t>Based on the analysis conducted in the AI, the following impediments to fair housing choice were identified:</w:t>
      </w:r>
    </w:p>
    <w:p>
      <w:pPr>
        <w:pStyle w:val="ListParagraph"/>
        <w:numPr>
          <w:ilvl w:val="0"/>
          <w:numId w:val="15"/>
        </w:numPr>
        <w:tabs>
          <w:tab w:pos="994" w:val="left" w:leader="none"/>
          <w:tab w:pos="995" w:val="left" w:leader="none"/>
        </w:tabs>
        <w:spacing w:line="276" w:lineRule="auto" w:before="196" w:after="0"/>
        <w:ind w:left="995" w:right="434" w:hanging="360"/>
        <w:jc w:val="left"/>
        <w:rPr>
          <w:sz w:val="22"/>
        </w:rPr>
      </w:pPr>
      <w:r>
        <w:rPr>
          <w:position w:val="1"/>
          <w:sz w:val="22"/>
        </w:rPr>
        <w:t>A lack of affordable housing has a greater negative impact on lower income families with</w:t>
      </w:r>
      <w:r>
        <w:rPr>
          <w:sz w:val="22"/>
        </w:rPr>
        <w:t> children, minorities, people with disabilities and potentially other members of the protected classes.</w:t>
      </w:r>
    </w:p>
    <w:p>
      <w:pPr>
        <w:pStyle w:val="BodyText"/>
        <w:spacing w:before="4"/>
        <w:rPr>
          <w:sz w:val="16"/>
        </w:rPr>
      </w:pPr>
    </w:p>
    <w:p>
      <w:pPr>
        <w:pStyle w:val="ListParagraph"/>
        <w:numPr>
          <w:ilvl w:val="0"/>
          <w:numId w:val="15"/>
        </w:numPr>
        <w:tabs>
          <w:tab w:pos="994" w:val="left" w:leader="none"/>
          <w:tab w:pos="995" w:val="left" w:leader="none"/>
        </w:tabs>
        <w:spacing w:line="278" w:lineRule="auto" w:before="0" w:after="0"/>
        <w:ind w:left="995" w:right="690" w:hanging="360"/>
        <w:jc w:val="left"/>
        <w:rPr>
          <w:sz w:val="22"/>
        </w:rPr>
      </w:pPr>
      <w:r>
        <w:rPr>
          <w:position w:val="1"/>
          <w:sz w:val="22"/>
        </w:rPr>
        <w:t>Since the previous AI, the City of Bloomington adopted a Unified Development Ordinance</w:t>
      </w:r>
      <w:r>
        <w:rPr>
          <w:sz w:val="22"/>
        </w:rPr>
        <w:t> (UDO) in 2020.</w:t>
      </w:r>
    </w:p>
    <w:p>
      <w:pPr>
        <w:pStyle w:val="ListParagraph"/>
        <w:numPr>
          <w:ilvl w:val="1"/>
          <w:numId w:val="15"/>
        </w:numPr>
        <w:tabs>
          <w:tab w:pos="1714" w:val="left" w:leader="none"/>
          <w:tab w:pos="1715" w:val="left" w:leader="none"/>
        </w:tabs>
        <w:spacing w:line="259" w:lineRule="auto" w:before="98" w:after="0"/>
        <w:ind w:left="1715" w:right="168" w:hanging="360"/>
        <w:jc w:val="left"/>
        <w:rPr>
          <w:sz w:val="22"/>
        </w:rPr>
      </w:pPr>
      <w:r>
        <w:rPr>
          <w:sz w:val="22"/>
        </w:rPr>
        <w:t>Based on a Zoning Risk Assessment conducted Bloomington’s UDO, the city is low risk relative to discriminatory provisions for housing and members of the protected</w:t>
      </w:r>
      <w:r>
        <w:rPr>
          <w:spacing w:val="5"/>
          <w:sz w:val="22"/>
        </w:rPr>
        <w:t> </w:t>
      </w:r>
      <w:r>
        <w:rPr>
          <w:spacing w:val="-3"/>
          <w:sz w:val="22"/>
        </w:rPr>
        <w:t>classes.</w:t>
      </w:r>
    </w:p>
    <w:p>
      <w:pPr>
        <w:pStyle w:val="ListParagraph"/>
        <w:numPr>
          <w:ilvl w:val="1"/>
          <w:numId w:val="15"/>
        </w:numPr>
        <w:tabs>
          <w:tab w:pos="1714" w:val="left" w:leader="none"/>
          <w:tab w:pos="1715" w:val="left" w:leader="none"/>
        </w:tabs>
        <w:spacing w:line="259" w:lineRule="auto" w:before="0" w:after="0"/>
        <w:ind w:left="1715" w:right="198" w:hanging="360"/>
        <w:jc w:val="left"/>
        <w:rPr>
          <w:sz w:val="22"/>
        </w:rPr>
      </w:pPr>
      <w:r>
        <w:rPr>
          <w:sz w:val="22"/>
        </w:rPr>
        <w:t>However, developers have mentioned potential barriers to creating affordable </w:t>
      </w:r>
      <w:r>
        <w:rPr>
          <w:spacing w:val="-3"/>
          <w:sz w:val="22"/>
        </w:rPr>
        <w:t>housing </w:t>
      </w:r>
      <w:r>
        <w:rPr>
          <w:sz w:val="22"/>
        </w:rPr>
        <w:t>because of provisions required under the UDO.</w:t>
      </w:r>
    </w:p>
    <w:p>
      <w:pPr>
        <w:pStyle w:val="ListParagraph"/>
        <w:numPr>
          <w:ilvl w:val="0"/>
          <w:numId w:val="15"/>
        </w:numPr>
        <w:tabs>
          <w:tab w:pos="994" w:val="left" w:leader="none"/>
          <w:tab w:pos="995" w:val="left" w:leader="none"/>
        </w:tabs>
        <w:spacing w:line="240" w:lineRule="auto" w:before="195" w:after="0"/>
        <w:ind w:left="995" w:right="0" w:hanging="360"/>
        <w:jc w:val="left"/>
        <w:rPr>
          <w:sz w:val="22"/>
        </w:rPr>
      </w:pPr>
      <w:r>
        <w:rPr>
          <w:position w:val="1"/>
          <w:sz w:val="22"/>
        </w:rPr>
        <w:t>Minorities are underrepresented among homeowners.</w:t>
      </w:r>
    </w:p>
    <w:p>
      <w:pPr>
        <w:pStyle w:val="BodyText"/>
        <w:rPr>
          <w:sz w:val="20"/>
        </w:rPr>
      </w:pPr>
    </w:p>
    <w:p>
      <w:pPr>
        <w:pStyle w:val="Heading4"/>
        <w:spacing w:line="276" w:lineRule="auto"/>
        <w:ind w:right="238"/>
      </w:pPr>
      <w:r>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pStyle w:val="BodyText"/>
        <w:rPr>
          <w:b/>
          <w:sz w:val="16"/>
        </w:rPr>
      </w:pPr>
    </w:p>
    <w:tbl>
      <w:tblPr>
        <w:tblW w:w="0" w:type="auto"/>
        <w:jc w:val="left"/>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55"/>
      </w:tblGrid>
      <w:tr>
        <w:trPr>
          <w:trHeight w:val="457" w:hRule="atLeast"/>
        </w:trPr>
        <w:tc>
          <w:tcPr>
            <w:tcW w:w="9355" w:type="dxa"/>
            <w:tcBorders>
              <w:top w:val="nil"/>
              <w:left w:val="nil"/>
            </w:tcBorders>
          </w:tcPr>
          <w:p>
            <w:pPr>
              <w:pStyle w:val="TableParagraph"/>
              <w:spacing w:line="230" w:lineRule="atLeast"/>
              <w:ind w:left="119" w:right="859"/>
              <w:rPr>
                <w:rFonts w:ascii="Arial"/>
                <w:sz w:val="20"/>
              </w:rPr>
            </w:pPr>
            <w:r>
              <w:rPr>
                <w:rFonts w:ascii="Arial"/>
                <w:b/>
                <w:sz w:val="20"/>
              </w:rPr>
              <w:t>Strategy 1.1: </w:t>
            </w:r>
            <w:r>
              <w:rPr>
                <w:rFonts w:ascii="Arial"/>
                <w:sz w:val="20"/>
              </w:rPr>
              <w:t>Utilize program funds for the development of new housing in areas that have not previously seen heavy investment, such as in communities north and east of US 45.</w:t>
            </w:r>
          </w:p>
        </w:tc>
      </w:tr>
      <w:tr>
        <w:trPr>
          <w:trHeight w:val="451" w:hRule="atLeast"/>
        </w:trPr>
        <w:tc>
          <w:tcPr>
            <w:tcW w:w="9355" w:type="dxa"/>
            <w:tcBorders>
              <w:left w:val="nil"/>
            </w:tcBorders>
          </w:tcPr>
          <w:p>
            <w:pPr>
              <w:pStyle w:val="TableParagraph"/>
              <w:spacing w:line="225" w:lineRule="exact"/>
              <w:ind w:left="119"/>
              <w:rPr>
                <w:rFonts w:ascii="Arial"/>
                <w:sz w:val="20"/>
              </w:rPr>
            </w:pPr>
            <w:r>
              <w:rPr>
                <w:rFonts w:ascii="Arial"/>
                <w:b/>
                <w:sz w:val="20"/>
              </w:rPr>
              <w:t>Strategy 3.1: </w:t>
            </w:r>
            <w:r>
              <w:rPr>
                <w:rFonts w:ascii="Arial"/>
                <w:sz w:val="20"/>
              </w:rPr>
              <w:t>Develop partnerships with HUD-certified housing counselors and local lenders to offer</w:t>
            </w:r>
          </w:p>
          <w:p>
            <w:pPr>
              <w:pStyle w:val="TableParagraph"/>
              <w:spacing w:line="207" w:lineRule="exact"/>
              <w:ind w:left="119"/>
              <w:rPr>
                <w:rFonts w:ascii="Arial"/>
                <w:sz w:val="20"/>
              </w:rPr>
            </w:pPr>
            <w:r>
              <w:rPr>
                <w:rFonts w:ascii="Arial"/>
                <w:sz w:val="20"/>
              </w:rPr>
              <w:t>homebuyer education and financial literacy programs</w:t>
            </w:r>
          </w:p>
        </w:tc>
      </w:tr>
      <w:tr>
        <w:trPr>
          <w:trHeight w:val="684" w:hRule="atLeast"/>
        </w:trPr>
        <w:tc>
          <w:tcPr>
            <w:tcW w:w="9355" w:type="dxa"/>
            <w:tcBorders>
              <w:left w:val="nil"/>
            </w:tcBorders>
          </w:tcPr>
          <w:p>
            <w:pPr>
              <w:pStyle w:val="TableParagraph"/>
              <w:spacing w:line="230" w:lineRule="exact" w:before="1"/>
              <w:ind w:left="119" w:right="292"/>
              <w:rPr>
                <w:rFonts w:ascii="Arial"/>
                <w:sz w:val="20"/>
              </w:rPr>
            </w:pPr>
            <w:r>
              <w:rPr>
                <w:rFonts w:ascii="Arial"/>
                <w:b/>
                <w:sz w:val="20"/>
              </w:rPr>
              <w:t>Strategy 3.2: </w:t>
            </w:r>
            <w:r>
              <w:rPr>
                <w:rFonts w:ascii="Arial"/>
                <w:sz w:val="20"/>
              </w:rPr>
              <w:t>Continue funding of projects to foster and maintain affordable housing such as down payment and closing costs assistance, rental deposit programming, home repairs, Residential Rental occupancy Program, and more.</w:t>
            </w:r>
          </w:p>
        </w:tc>
      </w:tr>
      <w:tr>
        <w:trPr>
          <w:trHeight w:val="477" w:hRule="atLeast"/>
        </w:trPr>
        <w:tc>
          <w:tcPr>
            <w:tcW w:w="9355" w:type="dxa"/>
            <w:tcBorders>
              <w:left w:val="nil"/>
            </w:tcBorders>
          </w:tcPr>
          <w:p>
            <w:pPr>
              <w:pStyle w:val="TableParagraph"/>
              <w:spacing w:line="239" w:lineRule="exact"/>
              <w:ind w:left="119"/>
              <w:rPr>
                <w:sz w:val="20"/>
              </w:rPr>
            </w:pPr>
            <w:r>
              <w:rPr>
                <w:b/>
                <w:sz w:val="20"/>
              </w:rPr>
              <w:t>Strategy 2.1</w:t>
            </w:r>
            <w:r>
              <w:rPr>
                <w:sz w:val="20"/>
              </w:rPr>
              <w:t>: Continue and expand fair housing education efforts conducted through Bloomington/Monroe</w:t>
            </w:r>
          </w:p>
          <w:p>
            <w:pPr>
              <w:pStyle w:val="TableParagraph"/>
              <w:spacing w:line="218" w:lineRule="exact"/>
              <w:ind w:left="119"/>
              <w:rPr>
                <w:sz w:val="20"/>
              </w:rPr>
            </w:pPr>
            <w:r>
              <w:rPr>
                <w:sz w:val="20"/>
              </w:rPr>
              <w:t>County Human Rights Commission.</w:t>
            </w:r>
          </w:p>
        </w:tc>
      </w:tr>
      <w:tr>
        <w:trPr>
          <w:trHeight w:val="454" w:hRule="atLeast"/>
        </w:trPr>
        <w:tc>
          <w:tcPr>
            <w:tcW w:w="9355" w:type="dxa"/>
            <w:tcBorders>
              <w:left w:val="nil"/>
            </w:tcBorders>
          </w:tcPr>
          <w:p>
            <w:pPr>
              <w:pStyle w:val="TableParagraph"/>
              <w:spacing w:line="230" w:lineRule="exact" w:before="1"/>
              <w:ind w:left="119" w:right="993"/>
              <w:rPr>
                <w:rFonts w:ascii="Arial"/>
                <w:sz w:val="20"/>
              </w:rPr>
            </w:pPr>
            <w:r>
              <w:rPr>
                <w:rFonts w:ascii="Arial"/>
                <w:b/>
                <w:sz w:val="20"/>
              </w:rPr>
              <w:t>Strategy 2.2: </w:t>
            </w:r>
            <w:r>
              <w:rPr>
                <w:rFonts w:ascii="Arial"/>
                <w:sz w:val="20"/>
              </w:rPr>
              <w:t>Continue maintaining a record of fair housing complaints filed to BMCHRC and publishing reports to ensure transparency and awareness of local fair housing issues.</w:t>
            </w:r>
          </w:p>
        </w:tc>
      </w:tr>
      <w:tr>
        <w:trPr>
          <w:trHeight w:val="448" w:hRule="atLeast"/>
        </w:trPr>
        <w:tc>
          <w:tcPr>
            <w:tcW w:w="9355" w:type="dxa"/>
            <w:tcBorders>
              <w:left w:val="nil"/>
            </w:tcBorders>
          </w:tcPr>
          <w:p>
            <w:pPr>
              <w:pStyle w:val="TableParagraph"/>
              <w:spacing w:line="221" w:lineRule="exact"/>
              <w:ind w:left="119"/>
              <w:rPr>
                <w:rFonts w:ascii="Arial" w:hAnsi="Arial"/>
                <w:sz w:val="20"/>
              </w:rPr>
            </w:pPr>
            <w:r>
              <w:rPr>
                <w:rFonts w:ascii="Arial" w:hAnsi="Arial"/>
                <w:b/>
                <w:sz w:val="20"/>
              </w:rPr>
              <w:t>Strategy 2.3: </w:t>
            </w:r>
            <w:r>
              <w:rPr>
                <w:rFonts w:ascii="Arial" w:hAnsi="Arial"/>
                <w:sz w:val="20"/>
              </w:rPr>
              <w:t>As part of the City’s local application process for HUD funds, provide a fair housing</w:t>
            </w:r>
          </w:p>
          <w:p>
            <w:pPr>
              <w:pStyle w:val="TableParagraph"/>
              <w:spacing w:line="207" w:lineRule="exact"/>
              <w:ind w:left="119"/>
              <w:rPr>
                <w:rFonts w:ascii="Arial"/>
                <w:sz w:val="20"/>
              </w:rPr>
            </w:pPr>
            <w:r>
              <w:rPr>
                <w:rFonts w:ascii="Arial"/>
                <w:sz w:val="20"/>
              </w:rPr>
              <w:t>training component that all subrecipients are required to attend before signing their grant agreement.</w:t>
            </w:r>
          </w:p>
        </w:tc>
      </w:tr>
      <w:tr>
        <w:trPr>
          <w:trHeight w:val="684" w:hRule="atLeast"/>
        </w:trPr>
        <w:tc>
          <w:tcPr>
            <w:tcW w:w="9355" w:type="dxa"/>
            <w:tcBorders>
              <w:left w:val="nil"/>
            </w:tcBorders>
          </w:tcPr>
          <w:p>
            <w:pPr>
              <w:pStyle w:val="TableParagraph"/>
              <w:spacing w:line="230" w:lineRule="exact" w:before="1"/>
              <w:ind w:left="119" w:right="320"/>
              <w:jc w:val="both"/>
              <w:rPr>
                <w:rFonts w:ascii="Arial"/>
                <w:sz w:val="20"/>
              </w:rPr>
            </w:pPr>
            <w:r>
              <w:rPr>
                <w:rFonts w:ascii="Arial"/>
                <w:b/>
                <w:sz w:val="20"/>
              </w:rPr>
              <w:t>Strategy 2.4: </w:t>
            </w:r>
            <w:r>
              <w:rPr>
                <w:rFonts w:ascii="Arial"/>
                <w:sz w:val="20"/>
              </w:rPr>
              <w:t>Conduct a new four factor analysis to identify additional resources that may be needed for its LEP Chinese-speaking population who may be eligible for programs and services. The city will then take steps to provide those resources.</w:t>
            </w:r>
          </w:p>
        </w:tc>
      </w:tr>
    </w:tbl>
    <w:p>
      <w:pPr>
        <w:spacing w:after="0" w:line="230" w:lineRule="exact"/>
        <w:jc w:val="both"/>
        <w:rPr>
          <w:rFonts w:ascii="Arial"/>
          <w:sz w:val="20"/>
        </w:rPr>
        <w:sectPr>
          <w:headerReference w:type="default" r:id="rId205"/>
          <w:footerReference w:type="default" r:id="rId206"/>
          <w:pgSz w:w="12240" w:h="15840"/>
          <w:pgMar w:header="1511" w:footer="1340" w:top="2260" w:bottom="1540" w:left="1220" w:right="1340"/>
          <w:pgNumType w:start="146"/>
        </w:sectPr>
      </w:pPr>
    </w:p>
    <w:p>
      <w:pPr>
        <w:pStyle w:val="BodyText"/>
        <w:spacing w:before="6"/>
        <w:rPr>
          <w:b/>
          <w:sz w:val="8"/>
        </w:rPr>
      </w:pPr>
    </w:p>
    <w:p>
      <w:pPr>
        <w:pStyle w:val="BodyText"/>
        <w:spacing w:before="56"/>
        <w:ind w:left="220"/>
      </w:pPr>
      <w:r>
        <w:rPr/>
        <w:t>The following are additional actions the City of Bloomington will take in the 2025 Program Year.</w:t>
      </w:r>
    </w:p>
    <w:p>
      <w:pPr>
        <w:pStyle w:val="BodyText"/>
        <w:spacing w:before="9"/>
        <w:rPr>
          <w:sz w:val="19"/>
        </w:rPr>
      </w:pPr>
    </w:p>
    <w:p>
      <w:pPr>
        <w:pStyle w:val="Heading4"/>
      </w:pPr>
      <w:r>
        <w:rPr/>
        <w:t>Actions planned to address obstacles to meeting underserved needs</w:t>
      </w:r>
    </w:p>
    <w:p>
      <w:pPr>
        <w:pStyle w:val="BodyText"/>
        <w:spacing w:before="11"/>
        <w:rPr>
          <w:b/>
          <w:sz w:val="19"/>
        </w:rPr>
      </w:pPr>
    </w:p>
    <w:p>
      <w:pPr>
        <w:pStyle w:val="BodyText"/>
        <w:spacing w:line="276" w:lineRule="auto" w:before="1"/>
        <w:ind w:left="220" w:right="186"/>
      </w:pPr>
      <w:r>
        <w:rPr/>
        <w:t>The City prioritizes funding for services for underserved populations, including households experiencing and at-risk of homelessness and funds for food insecure households. To the extent feasible, HOME dollars will be allocated to projects that couple affordable housing development with self-sufficiency and employment programming.</w:t>
      </w:r>
    </w:p>
    <w:p>
      <w:pPr>
        <w:pStyle w:val="BodyText"/>
        <w:spacing w:before="4"/>
        <w:rPr>
          <w:sz w:val="16"/>
        </w:rPr>
      </w:pPr>
    </w:p>
    <w:p>
      <w:pPr>
        <w:pStyle w:val="Heading4"/>
        <w:spacing w:before="1"/>
      </w:pPr>
      <w:r>
        <w:rPr/>
        <w:t>Actions planned to foster and maintain affordable housing</w:t>
      </w:r>
    </w:p>
    <w:p>
      <w:pPr>
        <w:pStyle w:val="BodyText"/>
        <w:spacing w:before="6"/>
        <w:rPr>
          <w:b/>
          <w:sz w:val="26"/>
        </w:rPr>
      </w:pPr>
    </w:p>
    <w:p>
      <w:pPr>
        <w:pStyle w:val="BodyText"/>
        <w:spacing w:line="276" w:lineRule="auto"/>
        <w:ind w:left="220" w:right="80"/>
      </w:pPr>
      <w:r>
        <w:rPr/>
        <w:t>HAND will continue to foster and maintain affordable housing through a variety of platforms and programs. To influence market conditions HAND will be supporting new unit production and the preservation of existing units. In addition, HAND will continue to offer a myriad of assistance programming for residents , and will continue to provide subsidy and direct assistance to create and/or maintain affordable units for income eligible households. In addition, the City of Bloomington requires rental units within the City be registered and inspected for safety and permitted on a 3, 4 or 5 year basis. With more than 29,000 rental units within city limits the rental inspection program helps maintain and provide safe, sanitary and affordable units.</w:t>
      </w:r>
    </w:p>
    <w:p>
      <w:pPr>
        <w:pStyle w:val="BodyText"/>
        <w:spacing w:before="11"/>
      </w:pPr>
    </w:p>
    <w:p>
      <w:pPr>
        <w:pStyle w:val="Heading4"/>
        <w:spacing w:before="1"/>
      </w:pPr>
      <w:r>
        <w:rPr/>
        <w:t>Actions planned to reduce lead-based paint hazards</w:t>
      </w:r>
    </w:p>
    <w:p>
      <w:pPr>
        <w:pStyle w:val="BodyText"/>
        <w:spacing w:before="6"/>
        <w:rPr>
          <w:b/>
          <w:sz w:val="26"/>
        </w:rPr>
      </w:pPr>
    </w:p>
    <w:p>
      <w:pPr>
        <w:pStyle w:val="BodyText"/>
        <w:spacing w:line="276" w:lineRule="auto"/>
        <w:ind w:left="220" w:right="174"/>
      </w:pPr>
      <w:r>
        <w:rPr/>
        <w:t>The City of Bloomington will continue to support the efforts of the Indiana State Department of Health (ISDH) and Monroe County Health Department to address lead-based paint exposure through activities such as lead abatement programs and education. Abatement activities include, but not limited to, the replacement of building components, the complete removal of lead paint, encapsulation of lead-based paint hazards, enclosure of lead-based paint hazards, and other permanent measures to eliminate lead- based paint hazards.</w:t>
      </w:r>
    </w:p>
    <w:p>
      <w:pPr>
        <w:pStyle w:val="BodyText"/>
        <w:spacing w:before="11"/>
      </w:pPr>
    </w:p>
    <w:p>
      <w:pPr>
        <w:pStyle w:val="BodyText"/>
        <w:spacing w:line="276" w:lineRule="auto"/>
        <w:ind w:left="220" w:right="104"/>
      </w:pPr>
      <w:r>
        <w:rPr/>
        <w:t>The City of Bloomington Housing and Neighborhood Development Department (HAND) has four (3) Lead Risk Assessors that provide risk assessments and visual assessments, as appropriate, in all HAND funded housing projects or programs under the CDBG and HOME programs, as needed. All homeowners who receive assistance under the department’s housing programs are provided a brochure titled, “Protect Your Family From Lead In Your Home”. The homeowner is required to sign an acknowledgement form that they received the brochure and a staff member has explained to them the dangers of lead-based paint.</w:t>
      </w:r>
    </w:p>
    <w:p>
      <w:pPr>
        <w:pStyle w:val="BodyText"/>
        <w:rPr>
          <w:sz w:val="23"/>
        </w:rPr>
      </w:pPr>
    </w:p>
    <w:p>
      <w:pPr>
        <w:pStyle w:val="Heading4"/>
      </w:pPr>
      <w:r>
        <w:rPr/>
        <w:t>Actions planned to reduce the number of poverty-level families</w:t>
      </w:r>
    </w:p>
    <w:p>
      <w:pPr>
        <w:spacing w:after="0"/>
        <w:sectPr>
          <w:headerReference w:type="default" r:id="rId207"/>
          <w:footerReference w:type="default" r:id="rId208"/>
          <w:pgSz w:w="12240" w:h="15840"/>
          <w:pgMar w:header="1511" w:footer="1340" w:top="2260" w:bottom="1540" w:left="1220" w:right="1340"/>
          <w:pgNumType w:start="147"/>
        </w:sectPr>
      </w:pPr>
    </w:p>
    <w:p>
      <w:pPr>
        <w:pStyle w:val="BodyText"/>
        <w:spacing w:line="276" w:lineRule="auto" w:before="44"/>
        <w:ind w:left="220" w:right="124"/>
      </w:pPr>
      <w:r>
        <w:rPr/>
        <w:t>The City of Bloomington’s Anti-Poverty Strategy is modeled after the United Way of Monroe County’s goals and strategies for improving people’s lives and mobilizing the community. Education programming serves to help children, youth, and adults through early childhood education and preparation, youth development, and job and life skills buildings. Strategies include providing affordable childcare, after- school programs, and healthy habits and mentoring; promoting the development of children under the age of five; and support youth efforts to graduate high school with a viable plan for the future.</w:t>
      </w:r>
    </w:p>
    <w:p>
      <w:pPr>
        <w:pStyle w:val="BodyText"/>
        <w:spacing w:before="11"/>
      </w:pPr>
    </w:p>
    <w:p>
      <w:pPr>
        <w:pStyle w:val="BodyText"/>
        <w:spacing w:line="276" w:lineRule="auto"/>
        <w:ind w:left="220" w:right="809"/>
      </w:pPr>
      <w:r>
        <w:rPr/>
        <w:t>In addition, providing services designed to obtain and maintain employment, increase and retain income, and build savings and assets aim to encourage self sufficiency.</w:t>
      </w:r>
    </w:p>
    <w:p>
      <w:pPr>
        <w:pStyle w:val="BodyText"/>
        <w:spacing w:before="11"/>
      </w:pPr>
    </w:p>
    <w:p>
      <w:pPr>
        <w:pStyle w:val="BodyText"/>
        <w:spacing w:line="276" w:lineRule="auto" w:before="1"/>
        <w:ind w:left="220" w:right="336"/>
      </w:pPr>
      <w:r>
        <w:rPr/>
        <w:t>In 2025, Bloomington will support programs that help individuals and families meet basic needs with access to food, shelter, healthcare, and emergency crises, as well as continuing to support sustainable economic development through affordable housing and other community development initiatives.</w:t>
      </w:r>
    </w:p>
    <w:p>
      <w:pPr>
        <w:pStyle w:val="BodyText"/>
        <w:spacing w:before="11"/>
      </w:pPr>
    </w:p>
    <w:p>
      <w:pPr>
        <w:pStyle w:val="Heading4"/>
      </w:pPr>
      <w:r>
        <w:rPr/>
        <w:t>Actions planned to develop institutional structure</w:t>
      </w:r>
    </w:p>
    <w:p>
      <w:pPr>
        <w:pStyle w:val="BodyText"/>
        <w:spacing w:before="6"/>
        <w:rPr>
          <w:b/>
          <w:sz w:val="26"/>
        </w:rPr>
      </w:pPr>
    </w:p>
    <w:p>
      <w:pPr>
        <w:pStyle w:val="BodyText"/>
        <w:spacing w:line="276" w:lineRule="auto" w:before="1"/>
        <w:ind w:left="220" w:right="277"/>
      </w:pPr>
      <w:r>
        <w:rPr/>
        <w:t>The largest gap in the delivery of services to low- moderate-income households is the lack of adequate funding to address the housing and community development needs of County residents. The City will utilize its CDBG and HOME resources to support the delivery of services to special needs populations, including those experiencing or at-risk of homelessness, families, and the elderly.</w:t>
      </w:r>
    </w:p>
    <w:p>
      <w:pPr>
        <w:pStyle w:val="BodyText"/>
        <w:spacing w:before="11"/>
      </w:pPr>
    </w:p>
    <w:p>
      <w:pPr>
        <w:pStyle w:val="Heading4"/>
        <w:spacing w:line="276" w:lineRule="auto"/>
        <w:ind w:right="656"/>
      </w:pPr>
      <w:r>
        <w:rPr/>
        <w:t>Actions planned to enhance coordination between public and private housing and social service agencies</w:t>
      </w:r>
    </w:p>
    <w:p>
      <w:pPr>
        <w:pStyle w:val="BodyText"/>
        <w:spacing w:line="276" w:lineRule="auto" w:before="200"/>
        <w:ind w:left="220" w:right="132"/>
      </w:pPr>
      <w:r>
        <w:rPr/>
        <w:t>The City will continue to collaborate with human and social service agencies, the Continuum of Care and the Heading Home Initiative to identify potential resources for meeting the service needs of City residents. The City will continue to support and encourage the development of new affordable housing units.</w:t>
      </w:r>
    </w:p>
    <w:p>
      <w:pPr>
        <w:spacing w:after="0" w:line="276" w:lineRule="auto"/>
        <w:sectPr>
          <w:headerReference w:type="default" r:id="rId209"/>
          <w:footerReference w:type="default" r:id="rId210"/>
          <w:pgSz w:w="12240" w:h="15840"/>
          <w:pgMar w:header="0" w:footer="1340" w:top="1400" w:bottom="1540" w:left="1220" w:right="1340"/>
          <w:pgNumType w:start="148"/>
        </w:sectPr>
      </w:pPr>
    </w:p>
    <w:p>
      <w:pPr>
        <w:pStyle w:val="Heading2"/>
        <w:ind w:left="201" w:right="81"/>
      </w:pPr>
      <w:bookmarkStart w:name="_TOC_250000" w:id="22"/>
      <w:bookmarkEnd w:id="22"/>
      <w:r>
        <w:rPr/>
        <w:t>Program Specific Requirements</w:t>
      </w:r>
    </w:p>
    <w:p>
      <w:pPr>
        <w:pStyle w:val="Heading3"/>
        <w:ind w:right="3005"/>
        <w:jc w:val="center"/>
      </w:pPr>
      <w:r>
        <w:rPr/>
        <w:t>AP-90 Program Specific Requirements – 91.220(l)(1,2,4)</w:t>
      </w:r>
    </w:p>
    <w:p>
      <w:pPr>
        <w:pStyle w:val="BodyText"/>
        <w:spacing w:before="4"/>
        <w:rPr>
          <w:b/>
          <w:sz w:val="16"/>
        </w:rPr>
      </w:pPr>
    </w:p>
    <w:p>
      <w:pPr>
        <w:spacing w:after="0"/>
        <w:rPr>
          <w:sz w:val="16"/>
        </w:rPr>
        <w:sectPr>
          <w:headerReference w:type="default" r:id="rId211"/>
          <w:footerReference w:type="default" r:id="rId212"/>
          <w:pgSz w:w="12240" w:h="15840"/>
          <w:pgMar w:header="0" w:footer="1340" w:top="1440" w:bottom="1540" w:left="1220" w:right="1340"/>
          <w:pgNumType w:start="149"/>
        </w:sectPr>
      </w:pPr>
    </w:p>
    <w:p>
      <w:pPr>
        <w:pStyle w:val="Heading4"/>
        <w:spacing w:before="52"/>
      </w:pPr>
      <w:r>
        <w:rPr/>
        <w:t>Introduction:</w:t>
      </w:r>
    </w:p>
    <w:p>
      <w:pPr>
        <w:pStyle w:val="BodyText"/>
        <w:rPr>
          <w:b/>
          <w:sz w:val="24"/>
        </w:rPr>
      </w:pPr>
      <w:r>
        <w:rPr/>
        <w:br w:type="column"/>
      </w:r>
      <w:r>
        <w:rPr>
          <w:b/>
          <w:sz w:val="24"/>
        </w:rPr>
      </w:r>
    </w:p>
    <w:p>
      <w:pPr>
        <w:spacing w:before="208"/>
        <w:ind w:left="1480" w:right="2056" w:hanging="1261"/>
        <w:jc w:val="left"/>
        <w:rPr>
          <w:b/>
          <w:sz w:val="24"/>
        </w:rPr>
      </w:pPr>
      <w:r>
        <w:rPr>
          <w:b/>
          <w:sz w:val="24"/>
        </w:rPr>
        <w:t>Community Development Block Grant Program (CDBG) Reference 24 CFR 91.220(l)(1)</w:t>
      </w:r>
    </w:p>
    <w:p>
      <w:pPr>
        <w:spacing w:after="0"/>
        <w:jc w:val="left"/>
        <w:rPr>
          <w:sz w:val="24"/>
        </w:rPr>
        <w:sectPr>
          <w:type w:val="continuous"/>
          <w:pgSz w:w="12240" w:h="15840"/>
          <w:pgMar w:top="1340" w:bottom="1520" w:left="1220" w:right="1340"/>
          <w:cols w:num="2" w:equalWidth="0">
            <w:col w:w="1575" w:space="350"/>
            <w:col w:w="7755"/>
          </w:cols>
        </w:sectPr>
      </w:pPr>
    </w:p>
    <w:p>
      <w:pPr>
        <w:pStyle w:val="BodyText"/>
        <w:ind w:left="220" w:right="688"/>
        <w:jc w:val="both"/>
      </w:pPr>
      <w:r>
        <w:rPr/>
        <w:t>Projects planned with all CDBG funds expected to be available during the year are identified in the Projects Table. The following identifies program income that is available for use that is included in projects to be carried out.</w:t>
      </w:r>
    </w:p>
    <w:p>
      <w:pPr>
        <w:pStyle w:val="BodyText"/>
        <w:rPr>
          <w:sz w:val="20"/>
        </w:rPr>
      </w:pPr>
    </w:p>
    <w:p>
      <w:pPr>
        <w:pStyle w:val="BodyText"/>
        <w:spacing w:before="5"/>
        <w:rPr>
          <w:sz w:val="19"/>
        </w:rPr>
      </w:pPr>
    </w:p>
    <w:p>
      <w:pPr>
        <w:pStyle w:val="ListParagraph"/>
        <w:numPr>
          <w:ilvl w:val="0"/>
          <w:numId w:val="22"/>
        </w:numPr>
        <w:tabs>
          <w:tab w:pos="552" w:val="left" w:leader="none"/>
          <w:tab w:pos="8866" w:val="left" w:leader="none"/>
        </w:tabs>
        <w:spacing w:line="240" w:lineRule="auto" w:before="55" w:after="0"/>
        <w:ind w:left="551" w:right="0" w:hanging="217"/>
        <w:jc w:val="left"/>
        <w:rPr>
          <w:sz w:val="22"/>
        </w:rPr>
      </w:pPr>
      <w:r>
        <w:rPr>
          <w:sz w:val="22"/>
        </w:rPr>
        <w:t>The total amount of program income that will have been received before</w:t>
        <w:tab/>
        <w:t>0</w:t>
      </w:r>
    </w:p>
    <w:p>
      <w:pPr>
        <w:pStyle w:val="BodyText"/>
        <w:ind w:left="335"/>
      </w:pPr>
      <w:r>
        <w:rPr/>
        <w:t>the start of the next program year and that has not yet been reprogrammed</w:t>
      </w:r>
    </w:p>
    <w:p>
      <w:pPr>
        <w:pStyle w:val="ListParagraph"/>
        <w:numPr>
          <w:ilvl w:val="0"/>
          <w:numId w:val="22"/>
        </w:numPr>
        <w:tabs>
          <w:tab w:pos="552" w:val="left" w:leader="none"/>
          <w:tab w:pos="8866" w:val="left" w:leader="none"/>
        </w:tabs>
        <w:spacing w:line="240" w:lineRule="auto" w:before="0" w:after="0"/>
        <w:ind w:left="551" w:right="0" w:hanging="217"/>
        <w:jc w:val="left"/>
        <w:rPr>
          <w:sz w:val="22"/>
        </w:rPr>
      </w:pPr>
      <w:r>
        <w:rPr>
          <w:sz w:val="22"/>
        </w:rPr>
        <w:t>The amount of proceeds from section 108 loan guarantees that will be</w:t>
        <w:tab/>
        <w:t>0</w:t>
      </w:r>
    </w:p>
    <w:p>
      <w:pPr>
        <w:pStyle w:val="BodyText"/>
        <w:ind w:left="335" w:right="2797"/>
      </w:pPr>
      <w:r>
        <w:rPr/>
        <w:t>used during the year to address the priority needs and specific objectives identified in the grantee's strategic plan</w:t>
      </w:r>
    </w:p>
    <w:p>
      <w:pPr>
        <w:pStyle w:val="ListParagraph"/>
        <w:numPr>
          <w:ilvl w:val="0"/>
          <w:numId w:val="22"/>
        </w:numPr>
        <w:tabs>
          <w:tab w:pos="552" w:val="left" w:leader="none"/>
          <w:tab w:pos="8866" w:val="left" w:leader="none"/>
        </w:tabs>
        <w:spacing w:line="240" w:lineRule="auto" w:before="0" w:after="0"/>
        <w:ind w:left="551" w:right="0" w:hanging="217"/>
        <w:jc w:val="left"/>
        <w:rPr>
          <w:sz w:val="22"/>
        </w:rPr>
      </w:pPr>
      <w:r>
        <w:rPr>
          <w:sz w:val="22"/>
        </w:rPr>
        <w:t>The amount of surplus funds from urban renewal settlements</w:t>
        <w:tab/>
        <w:t>0</w:t>
      </w:r>
    </w:p>
    <w:p>
      <w:pPr>
        <w:pStyle w:val="ListParagraph"/>
        <w:numPr>
          <w:ilvl w:val="0"/>
          <w:numId w:val="22"/>
        </w:numPr>
        <w:tabs>
          <w:tab w:pos="552" w:val="left" w:leader="none"/>
          <w:tab w:pos="8866" w:val="left" w:leader="none"/>
        </w:tabs>
        <w:spacing w:line="240" w:lineRule="auto" w:before="0" w:after="0"/>
        <w:ind w:left="551" w:right="0" w:hanging="217"/>
        <w:jc w:val="left"/>
        <w:rPr>
          <w:sz w:val="22"/>
        </w:rPr>
      </w:pPr>
      <w:r>
        <w:rPr>
          <w:sz w:val="22"/>
        </w:rPr>
        <w:t>The amount of any grant funds returned to the line of credit for which the</w:t>
        <w:tab/>
        <w:t>0</w:t>
      </w:r>
    </w:p>
    <w:p>
      <w:pPr>
        <w:pStyle w:val="BodyText"/>
        <w:ind w:left="335"/>
      </w:pPr>
      <w:r>
        <w:rPr/>
        <w:t>planned use has not been included in a prior statement or plan.</w:t>
      </w:r>
    </w:p>
    <w:p>
      <w:pPr>
        <w:pStyle w:val="ListParagraph"/>
        <w:numPr>
          <w:ilvl w:val="0"/>
          <w:numId w:val="22"/>
        </w:numPr>
        <w:tabs>
          <w:tab w:pos="552" w:val="left" w:leader="none"/>
          <w:tab w:pos="8866" w:val="left" w:leader="none"/>
        </w:tabs>
        <w:spacing w:line="240" w:lineRule="auto" w:before="0" w:after="0"/>
        <w:ind w:left="551" w:right="0" w:hanging="217"/>
        <w:jc w:val="left"/>
        <w:rPr>
          <w:sz w:val="22"/>
        </w:rPr>
      </w:pPr>
      <w:r>
        <w:rPr>
          <w:sz w:val="22"/>
        </w:rPr>
        <w:t>The amount of income from float-funded activities</w:t>
        <w:tab/>
        <w:t>0</w:t>
      </w:r>
    </w:p>
    <w:p>
      <w:pPr>
        <w:pStyle w:val="BodyText"/>
        <w:tabs>
          <w:tab w:pos="8866" w:val="left" w:leader="none"/>
        </w:tabs>
        <w:ind w:left="335"/>
      </w:pPr>
      <w:r>
        <w:rPr/>
        <w:t>Total Program Income</w:t>
        <w:tab/>
        <w:t>0</w:t>
      </w:r>
    </w:p>
    <w:p>
      <w:pPr>
        <w:pStyle w:val="BodyText"/>
        <w:spacing w:before="1"/>
      </w:pPr>
    </w:p>
    <w:p>
      <w:pPr>
        <w:pStyle w:val="Heading4"/>
        <w:ind w:left="201" w:right="131"/>
        <w:jc w:val="center"/>
      </w:pPr>
      <w:r>
        <w:rPr/>
        <w:t>Other CDBG Requirements</w:t>
      </w:r>
    </w:p>
    <w:p>
      <w:pPr>
        <w:pStyle w:val="BodyText"/>
        <w:spacing w:before="11"/>
        <w:rPr>
          <w:b/>
          <w:sz w:val="21"/>
        </w:rPr>
      </w:pPr>
    </w:p>
    <w:p>
      <w:pPr>
        <w:pStyle w:val="BodyText"/>
        <w:tabs>
          <w:tab w:pos="8069" w:val="left" w:leader="none"/>
        </w:tabs>
        <w:spacing w:before="1"/>
        <w:ind w:left="335"/>
      </w:pPr>
      <w:r>
        <w:rPr/>
        <w:t>1. The amount of urgent need activities</w:t>
        <w:tab/>
        <w:t>0</w:t>
      </w:r>
    </w:p>
    <w:p>
      <w:pPr>
        <w:pStyle w:val="BodyText"/>
        <w:rPr>
          <w:sz w:val="24"/>
        </w:rPr>
      </w:pPr>
    </w:p>
    <w:p>
      <w:pPr>
        <w:pStyle w:val="BodyText"/>
        <w:rPr>
          <w:sz w:val="24"/>
        </w:rPr>
      </w:pPr>
    </w:p>
    <w:p>
      <w:pPr>
        <w:pStyle w:val="BodyText"/>
        <w:rPr>
          <w:sz w:val="18"/>
        </w:rPr>
      </w:pPr>
    </w:p>
    <w:p>
      <w:pPr>
        <w:pStyle w:val="Heading4"/>
        <w:ind w:left="3405" w:right="2386" w:hanging="930"/>
      </w:pPr>
      <w:r>
        <w:rPr/>
        <w:t>HOME Investment Partnership Program (HOME) Reference 24 CFR 91.220(l)(2)</w:t>
      </w:r>
    </w:p>
    <w:p>
      <w:pPr>
        <w:pStyle w:val="ListParagraph"/>
        <w:numPr>
          <w:ilvl w:val="0"/>
          <w:numId w:val="23"/>
        </w:numPr>
        <w:tabs>
          <w:tab w:pos="580" w:val="left" w:leader="none"/>
        </w:tabs>
        <w:spacing w:line="240" w:lineRule="auto" w:before="0" w:after="0"/>
        <w:ind w:left="580" w:right="306" w:hanging="360"/>
        <w:jc w:val="left"/>
        <w:rPr>
          <w:sz w:val="22"/>
        </w:rPr>
      </w:pPr>
      <w:r>
        <w:rPr>
          <w:sz w:val="22"/>
        </w:rPr>
        <w:t>A description of other forms of investment being used beyond those identified in Section 92.205 </w:t>
      </w:r>
      <w:r>
        <w:rPr>
          <w:spacing w:val="-9"/>
          <w:sz w:val="22"/>
        </w:rPr>
        <w:t>is </w:t>
      </w:r>
      <w:r>
        <w:rPr>
          <w:sz w:val="22"/>
        </w:rPr>
        <w:t>as follows:</w:t>
      </w:r>
    </w:p>
    <w:p>
      <w:pPr>
        <w:pStyle w:val="BodyText"/>
        <w:spacing w:before="12"/>
        <w:rPr>
          <w:sz w:val="21"/>
        </w:rPr>
      </w:pPr>
    </w:p>
    <w:p>
      <w:pPr>
        <w:pStyle w:val="BodyText"/>
        <w:ind w:left="220"/>
      </w:pPr>
      <w:r>
        <w:rPr/>
        <w:t>The city does not anticipate providing other forms of investment.</w:t>
      </w:r>
    </w:p>
    <w:p>
      <w:pPr>
        <w:pStyle w:val="BodyText"/>
        <w:spacing w:before="11"/>
      </w:pPr>
    </w:p>
    <w:p>
      <w:pPr>
        <w:pStyle w:val="ListParagraph"/>
        <w:numPr>
          <w:ilvl w:val="0"/>
          <w:numId w:val="23"/>
        </w:numPr>
        <w:tabs>
          <w:tab w:pos="580" w:val="left" w:leader="none"/>
        </w:tabs>
        <w:spacing w:line="276" w:lineRule="auto" w:before="0" w:after="0"/>
        <w:ind w:left="580" w:right="353" w:hanging="360"/>
        <w:jc w:val="left"/>
        <w:rPr>
          <w:sz w:val="22"/>
        </w:rPr>
      </w:pPr>
      <w:r>
        <w:rPr>
          <w:sz w:val="22"/>
        </w:rPr>
        <w:t>A description of the guidelines that will be used for resale or recapture of HOME funds when </w:t>
      </w:r>
      <w:r>
        <w:rPr>
          <w:spacing w:val="-5"/>
          <w:sz w:val="22"/>
        </w:rPr>
        <w:t>used </w:t>
      </w:r>
      <w:r>
        <w:rPr>
          <w:sz w:val="22"/>
        </w:rPr>
        <w:t>for homebuyer activities as required in 92.254, is as follows:</w:t>
      </w:r>
    </w:p>
    <w:p>
      <w:pPr>
        <w:pStyle w:val="Heading6"/>
      </w:pPr>
      <w:r>
        <w:rPr/>
        <w:t>Homebuyer Assistance</w:t>
      </w:r>
    </w:p>
    <w:p>
      <w:pPr>
        <w:pStyle w:val="BodyText"/>
        <w:spacing w:before="3"/>
        <w:rPr>
          <w:b/>
          <w:sz w:val="26"/>
        </w:rPr>
      </w:pPr>
    </w:p>
    <w:p>
      <w:pPr>
        <w:spacing w:line="276" w:lineRule="auto" w:before="0"/>
        <w:ind w:left="580" w:right="138" w:firstLine="0"/>
        <w:jc w:val="left"/>
        <w:rPr>
          <w:b/>
          <w:sz w:val="22"/>
        </w:rPr>
      </w:pPr>
      <w:r>
        <w:rPr>
          <w:b/>
          <w:sz w:val="22"/>
        </w:rPr>
        <w:t>For both recapture &amp; resale provisions, the document to be used by all entities will be supplied by the city.</w:t>
      </w:r>
    </w:p>
    <w:p>
      <w:pPr>
        <w:pStyle w:val="BodyText"/>
        <w:spacing w:before="11"/>
        <w:rPr>
          <w:b/>
        </w:rPr>
      </w:pPr>
    </w:p>
    <w:p>
      <w:pPr>
        <w:spacing w:before="1"/>
        <w:ind w:left="580" w:right="0" w:firstLine="0"/>
        <w:jc w:val="left"/>
        <w:rPr>
          <w:b/>
          <w:sz w:val="22"/>
        </w:rPr>
      </w:pPr>
      <w:r>
        <w:rPr>
          <w:b/>
          <w:sz w:val="22"/>
        </w:rPr>
        <w:t>Recapture Option</w:t>
      </w:r>
    </w:p>
    <w:p>
      <w:pPr>
        <w:spacing w:after="0"/>
        <w:jc w:val="left"/>
        <w:rPr>
          <w:sz w:val="22"/>
        </w:rPr>
        <w:sectPr>
          <w:type w:val="continuous"/>
          <w:pgSz w:w="12240" w:h="15840"/>
          <w:pgMar w:top="1340" w:bottom="1520" w:left="1220" w:right="1340"/>
        </w:sectPr>
      </w:pPr>
    </w:p>
    <w:p>
      <w:pPr>
        <w:pStyle w:val="BodyText"/>
        <w:spacing w:before="44"/>
        <w:ind w:left="580"/>
      </w:pPr>
      <w:r>
        <w:rPr/>
        <w:t>Used in HAND’s programs where a homebuyer is receiving direct financial assistance to buy a home.</w:t>
      </w:r>
    </w:p>
    <w:p>
      <w:pPr>
        <w:pStyle w:val="BodyText"/>
        <w:spacing w:before="11"/>
        <w:rPr>
          <w:sz w:val="25"/>
        </w:rPr>
      </w:pPr>
    </w:p>
    <w:p>
      <w:pPr>
        <w:pStyle w:val="ListParagraph"/>
        <w:numPr>
          <w:ilvl w:val="0"/>
          <w:numId w:val="24"/>
        </w:numPr>
        <w:tabs>
          <w:tab w:pos="579" w:val="left" w:leader="none"/>
          <w:tab w:pos="580" w:val="left" w:leader="none"/>
        </w:tabs>
        <w:spacing w:line="276" w:lineRule="auto" w:before="0" w:after="0"/>
        <w:ind w:left="580" w:right="134" w:hanging="360"/>
        <w:jc w:val="left"/>
        <w:rPr>
          <w:sz w:val="22"/>
        </w:rPr>
      </w:pPr>
      <w:r>
        <w:rPr>
          <w:b/>
          <w:position w:val="1"/>
          <w:sz w:val="22"/>
        </w:rPr>
        <w:t>Down payment &amp; Closing Cost Programs; </w:t>
      </w:r>
      <w:r>
        <w:rPr>
          <w:position w:val="1"/>
          <w:sz w:val="22"/>
        </w:rPr>
        <w:t>For HAND's Down Payment and Closing Cost program </w:t>
      </w:r>
      <w:r>
        <w:rPr>
          <w:spacing w:val="-6"/>
          <w:position w:val="1"/>
          <w:sz w:val="22"/>
        </w:rPr>
        <w:t>the</w:t>
      </w:r>
      <w:r>
        <w:rPr>
          <w:spacing w:val="-6"/>
          <w:sz w:val="22"/>
        </w:rPr>
        <w:t> </w:t>
      </w:r>
      <w:r>
        <w:rPr>
          <w:sz w:val="22"/>
        </w:rPr>
        <w:t>recapture option is used to recapture HOME funds if the property is transferred during a 5 year period. The maximum HOME funds allowed for this program is $10,000.  Each year, 20% of the funds are forgiven during the five year period.</w:t>
      </w:r>
    </w:p>
    <w:p>
      <w:pPr>
        <w:pStyle w:val="ListParagraph"/>
        <w:numPr>
          <w:ilvl w:val="0"/>
          <w:numId w:val="24"/>
        </w:numPr>
        <w:tabs>
          <w:tab w:pos="579" w:val="left" w:leader="none"/>
          <w:tab w:pos="580" w:val="left" w:leader="none"/>
        </w:tabs>
        <w:spacing w:line="276" w:lineRule="auto" w:before="0" w:after="0"/>
        <w:ind w:left="580" w:right="240" w:hanging="360"/>
        <w:jc w:val="left"/>
        <w:rPr>
          <w:sz w:val="22"/>
        </w:rPr>
      </w:pPr>
      <w:r>
        <w:rPr>
          <w:b/>
          <w:position w:val="1"/>
          <w:sz w:val="22"/>
        </w:rPr>
        <w:t>Purchase Rehabilitation Program: </w:t>
      </w:r>
      <w:r>
        <w:rPr>
          <w:position w:val="1"/>
          <w:sz w:val="22"/>
        </w:rPr>
        <w:t>For HAND’s purchase-rehabilitation program, the following will</w:t>
      </w:r>
      <w:r>
        <w:rPr>
          <w:sz w:val="22"/>
        </w:rPr>
        <w:t> be instituted based on the HOME investment. HOME Investment less than $15,000, 100% of </w:t>
      </w:r>
      <w:r>
        <w:rPr>
          <w:spacing w:val="-5"/>
          <w:sz w:val="22"/>
        </w:rPr>
        <w:t>HOME </w:t>
      </w:r>
      <w:r>
        <w:rPr>
          <w:sz w:val="22"/>
        </w:rPr>
        <w:t>funds are recaptured if the property is transferred before year 5 and then 20% of the funds are forgiven yearly for years 6-10. HOME Investment equal to or in excess of $15,000, 100% of HOME funds are recaptured if the property is transferred before year 5 and then 10% of the funds are forgiven yearly for years 6-15.</w:t>
      </w:r>
    </w:p>
    <w:p>
      <w:pPr>
        <w:pStyle w:val="BodyText"/>
        <w:spacing w:before="1"/>
        <w:rPr>
          <w:sz w:val="23"/>
        </w:rPr>
      </w:pPr>
    </w:p>
    <w:p>
      <w:pPr>
        <w:pStyle w:val="BodyText"/>
        <w:spacing w:line="276" w:lineRule="auto" w:before="1"/>
        <w:ind w:left="580" w:right="138"/>
      </w:pPr>
      <w:r>
        <w:rPr/>
        <w:t>In all recapture events, the maximum amount of HOME funds will be limited to the greater of the calculation above or the net sale proceeds. Additionally, in the case of foreclosure or where the sales price does not support the existing debt of a HOME assisted property; the recapture amount is based on the net proceeds of the sale of the property.</w:t>
      </w:r>
    </w:p>
    <w:p>
      <w:pPr>
        <w:pStyle w:val="BodyText"/>
        <w:spacing w:before="11"/>
      </w:pPr>
    </w:p>
    <w:p>
      <w:pPr>
        <w:pStyle w:val="BodyText"/>
        <w:spacing w:line="276" w:lineRule="auto"/>
        <w:ind w:left="580" w:right="166"/>
      </w:pPr>
      <w:r>
        <w:rPr>
          <w:b/>
        </w:rPr>
        <w:t>Net Proceed Calculations: </w:t>
      </w:r>
      <w:r>
        <w:rPr/>
        <w:t>In the event of foreclosure or where the sales price does not support the existing debt, the following calculation will be used to determine net proceeds and HOME recapture:</w:t>
      </w:r>
    </w:p>
    <w:p>
      <w:pPr>
        <w:pStyle w:val="BodyText"/>
        <w:spacing w:before="11"/>
      </w:pPr>
    </w:p>
    <w:p>
      <w:pPr>
        <w:pStyle w:val="BodyText"/>
        <w:spacing w:before="1"/>
        <w:ind w:left="580"/>
      </w:pPr>
      <w:r>
        <w:rPr/>
        <w:t>Step 1: Sales Price - (1st mortgage + closing costs) = Net Proceeds</w:t>
      </w:r>
    </w:p>
    <w:p>
      <w:pPr>
        <w:pStyle w:val="BodyText"/>
        <w:spacing w:before="2"/>
        <w:rPr>
          <w:sz w:val="26"/>
        </w:rPr>
      </w:pPr>
    </w:p>
    <w:p>
      <w:pPr>
        <w:pStyle w:val="BodyText"/>
        <w:ind w:left="580"/>
      </w:pPr>
      <w:r>
        <w:rPr/>
        <w:t>Step 2: Home Subsidy / (home subsidy + homeowner investment) x Net Proceeds = Home Recapture</w:t>
      </w:r>
    </w:p>
    <w:p>
      <w:pPr>
        <w:pStyle w:val="BodyText"/>
        <w:spacing w:before="3"/>
        <w:rPr>
          <w:sz w:val="26"/>
        </w:rPr>
      </w:pPr>
    </w:p>
    <w:p>
      <w:pPr>
        <w:pStyle w:val="Heading6"/>
      </w:pPr>
      <w:r>
        <w:rPr/>
        <w:t>RESALE option</w:t>
      </w:r>
    </w:p>
    <w:p>
      <w:pPr>
        <w:pStyle w:val="BodyText"/>
        <w:spacing w:before="3"/>
        <w:rPr>
          <w:b/>
          <w:sz w:val="26"/>
        </w:rPr>
      </w:pPr>
    </w:p>
    <w:p>
      <w:pPr>
        <w:pStyle w:val="BodyText"/>
        <w:spacing w:line="276" w:lineRule="auto"/>
        <w:ind w:left="580" w:right="192"/>
      </w:pPr>
      <w:r>
        <w:rPr/>
        <w:t>Used in HAND’s </w:t>
      </w:r>
      <w:r>
        <w:rPr>
          <w:b/>
        </w:rPr>
        <w:t>r</w:t>
      </w:r>
      <w:r>
        <w:rPr/>
        <w:t>ehabilitation programs where there is no direct subsidy (only a development subsidy) and all new construction homebuyer program requiring the subsequent buyer to make the unit affordable to a low moderate income household.</w:t>
      </w:r>
    </w:p>
    <w:p>
      <w:pPr>
        <w:pStyle w:val="BodyText"/>
        <w:spacing w:before="11"/>
      </w:pPr>
    </w:p>
    <w:p>
      <w:pPr>
        <w:pStyle w:val="BodyText"/>
        <w:spacing w:line="276" w:lineRule="auto" w:before="1"/>
        <w:ind w:left="580" w:right="204"/>
      </w:pPr>
      <w:r>
        <w:rPr>
          <w:b/>
        </w:rPr>
        <w:t>Buyers: </w:t>
      </w:r>
      <w:r>
        <w:rPr/>
        <w:t>The home must be sold to a household to a low income household (household income is less than or equal to 80% area median income. The homebuyer fixed cost of purchasing the home (loan payment) is not more than 30% of their income, and total debt is not more than 41%. The recapture or resale provision is outlined in an agreement produced and provided by HAND.</w:t>
      </w:r>
    </w:p>
    <w:p>
      <w:pPr>
        <w:pStyle w:val="BodyText"/>
        <w:spacing w:before="11"/>
      </w:pPr>
    </w:p>
    <w:p>
      <w:pPr>
        <w:pStyle w:val="BodyText"/>
        <w:spacing w:line="276" w:lineRule="auto"/>
        <w:ind w:left="580" w:right="719"/>
        <w:jc w:val="both"/>
      </w:pPr>
      <w:r>
        <w:rPr>
          <w:b/>
        </w:rPr>
        <w:t>Sales Price: </w:t>
      </w:r>
      <w:r>
        <w:rPr/>
        <w:t>The home must be sold at a price that is affordable to a reasonable range of low- income buyers as determined by the percentage change in the Consumer Price index over the period of ownership.</w:t>
      </w:r>
    </w:p>
    <w:p>
      <w:pPr>
        <w:spacing w:after="0" w:line="276" w:lineRule="auto"/>
        <w:jc w:val="both"/>
        <w:sectPr>
          <w:headerReference w:type="default" r:id="rId213"/>
          <w:footerReference w:type="default" r:id="rId214"/>
          <w:pgSz w:w="12240" w:h="15840"/>
          <w:pgMar w:header="0" w:footer="1340" w:top="1400" w:bottom="1540" w:left="1220" w:right="1340"/>
        </w:sectPr>
      </w:pPr>
    </w:p>
    <w:p>
      <w:pPr>
        <w:pStyle w:val="BodyText"/>
        <w:spacing w:line="276" w:lineRule="auto" w:before="44"/>
        <w:ind w:left="580" w:right="204"/>
      </w:pPr>
      <w:r>
        <w:rPr>
          <w:b/>
        </w:rPr>
        <w:t>Fair Return—</w:t>
      </w:r>
      <w:r>
        <w:rPr/>
        <w:t>HAND defines a fair return as the homeowner’s initial investment (down payment) plus the cost of capital improvements. Capital improvements are defined as a remodel that adds additional square feet to the structure, additional bathroom space and/or a complete kitchen remodel. Questions about what constitutes a capital improvement should be directed to HAND prior to the commencement of said project</w:t>
      </w:r>
    </w:p>
    <w:p>
      <w:pPr>
        <w:pStyle w:val="BodyText"/>
        <w:spacing w:before="11"/>
      </w:pPr>
    </w:p>
    <w:p>
      <w:pPr>
        <w:pStyle w:val="ListParagraph"/>
        <w:numPr>
          <w:ilvl w:val="0"/>
          <w:numId w:val="23"/>
        </w:numPr>
        <w:tabs>
          <w:tab w:pos="580" w:val="left" w:leader="none"/>
        </w:tabs>
        <w:spacing w:line="240" w:lineRule="auto" w:before="0" w:after="0"/>
        <w:ind w:left="580" w:right="101" w:hanging="360"/>
        <w:jc w:val="left"/>
        <w:rPr>
          <w:sz w:val="22"/>
        </w:rPr>
      </w:pPr>
      <w:r>
        <w:rPr>
          <w:sz w:val="22"/>
        </w:rPr>
        <w:t>A description of the guidelines for resale or recapture that ensures the affordability of units </w:t>
      </w:r>
      <w:r>
        <w:rPr>
          <w:spacing w:val="-3"/>
          <w:sz w:val="22"/>
        </w:rPr>
        <w:t>acquired </w:t>
      </w:r>
      <w:r>
        <w:rPr>
          <w:sz w:val="22"/>
        </w:rPr>
        <w:t>with HOME funds? See 24 CFR 92.254(a)(4) are as follows:</w:t>
      </w:r>
    </w:p>
    <w:p>
      <w:pPr>
        <w:pStyle w:val="BodyText"/>
      </w:pPr>
    </w:p>
    <w:p>
      <w:pPr>
        <w:pStyle w:val="BodyText"/>
        <w:spacing w:before="11"/>
      </w:pPr>
    </w:p>
    <w:p>
      <w:pPr>
        <w:pStyle w:val="BodyText"/>
        <w:spacing w:line="276" w:lineRule="auto" w:before="1"/>
        <w:ind w:left="580" w:right="587"/>
      </w:pPr>
      <w:r>
        <w:rPr/>
        <w:t>The City of Bloomington utilizes mortgages and covenants to protect its affordability interest in HOME subsidized properties.</w:t>
      </w:r>
    </w:p>
    <w:p>
      <w:pPr>
        <w:pStyle w:val="BodyText"/>
        <w:spacing w:before="11"/>
      </w:pPr>
    </w:p>
    <w:p>
      <w:pPr>
        <w:pStyle w:val="BodyText"/>
        <w:spacing w:line="276" w:lineRule="auto"/>
        <w:ind w:left="580" w:right="477"/>
      </w:pPr>
      <w:r>
        <w:rPr/>
        <w:t>The affordability period is terminated should any of the following events occur: foreclosure, transfer in lieu of foreclosure or assignment of an FHA insured mortgage to HUD.</w:t>
      </w:r>
    </w:p>
    <w:p>
      <w:pPr>
        <w:pStyle w:val="BodyText"/>
        <w:spacing w:before="11"/>
      </w:pPr>
    </w:p>
    <w:p>
      <w:pPr>
        <w:pStyle w:val="BodyText"/>
        <w:spacing w:line="276" w:lineRule="auto" w:before="1"/>
        <w:ind w:left="580" w:right="1152"/>
      </w:pPr>
      <w:r>
        <w:rPr/>
        <w:t>During the period of affordability, the property must be sold to another income qualified person/household.</w:t>
      </w:r>
    </w:p>
    <w:p>
      <w:pPr>
        <w:pStyle w:val="BodyText"/>
        <w:spacing w:before="11"/>
      </w:pPr>
    </w:p>
    <w:p>
      <w:pPr>
        <w:pStyle w:val="BodyText"/>
        <w:spacing w:line="276" w:lineRule="auto"/>
        <w:ind w:left="580" w:right="477"/>
      </w:pPr>
      <w:r>
        <w:rPr/>
        <w:t>The purchaser must occupy the property as their primary residence. They will need to sign an annual affidavit that must be notarized to this effect.</w:t>
      </w:r>
    </w:p>
    <w:p>
      <w:pPr>
        <w:pStyle w:val="BodyText"/>
        <w:spacing w:before="11"/>
      </w:pPr>
    </w:p>
    <w:p>
      <w:pPr>
        <w:pStyle w:val="BodyText"/>
        <w:spacing w:line="276" w:lineRule="auto"/>
        <w:ind w:left="580"/>
      </w:pPr>
      <w:r>
        <w:rPr/>
        <w:t>The original homeowner is guaranteed a fair return on their investment. If the homeowner wants to sell the property during the period of affordability, he/she must contact HAND with information for HAND to calculate the fair return on investment.</w:t>
      </w:r>
    </w:p>
    <w:p>
      <w:pPr>
        <w:pStyle w:val="BodyText"/>
        <w:spacing w:before="12"/>
      </w:pPr>
    </w:p>
    <w:p>
      <w:pPr>
        <w:pStyle w:val="BodyText"/>
        <w:spacing w:line="276" w:lineRule="auto"/>
        <w:ind w:left="580" w:right="228"/>
      </w:pPr>
      <w:r>
        <w:rPr/>
        <w:t>Title 20 of the Bloomington Municipal Code provides that rental housing in the City of Bloomington have an occupancy limit of no more than three unrelated adults. This applies to market rate and affordable housing.</w:t>
      </w:r>
    </w:p>
    <w:p>
      <w:pPr>
        <w:pStyle w:val="BodyText"/>
        <w:spacing w:before="11"/>
      </w:pPr>
    </w:p>
    <w:p>
      <w:pPr>
        <w:pStyle w:val="BodyText"/>
        <w:spacing w:line="276" w:lineRule="auto"/>
        <w:ind w:left="580" w:right="526"/>
      </w:pPr>
      <w:r>
        <w:rPr/>
        <w:t>The City of Bloomington complies with all non-discrimination housing policies and includes such provisions in City-sponsored (non-HUD) programming, such as our workforce housing program.</w:t>
      </w:r>
    </w:p>
    <w:p>
      <w:pPr>
        <w:pStyle w:val="BodyText"/>
        <w:spacing w:before="12"/>
      </w:pPr>
    </w:p>
    <w:p>
      <w:pPr>
        <w:pStyle w:val="ListParagraph"/>
        <w:numPr>
          <w:ilvl w:val="0"/>
          <w:numId w:val="23"/>
        </w:numPr>
        <w:tabs>
          <w:tab w:pos="580" w:val="left" w:leader="none"/>
        </w:tabs>
        <w:spacing w:line="240" w:lineRule="auto" w:before="0" w:after="0"/>
        <w:ind w:left="580" w:right="298" w:hanging="360"/>
        <w:jc w:val="left"/>
        <w:rPr>
          <w:sz w:val="22"/>
        </w:rPr>
      </w:pPr>
      <w:r>
        <w:rPr>
          <w:sz w:val="22"/>
        </w:rPr>
        <w:t>Plans for using HOME funds to refinance existing debt secured by multifamily housing that is rehabilitated with HOME funds along with a description of the refinancing guidelines required </w:t>
      </w:r>
      <w:r>
        <w:rPr>
          <w:spacing w:val="-5"/>
          <w:sz w:val="22"/>
        </w:rPr>
        <w:t>that </w:t>
      </w:r>
      <w:r>
        <w:rPr>
          <w:sz w:val="22"/>
        </w:rPr>
        <w:t>will be used under 24 CFR 92.206(b), are as follows:</w:t>
      </w:r>
    </w:p>
    <w:p>
      <w:pPr>
        <w:pStyle w:val="BodyText"/>
      </w:pPr>
    </w:p>
    <w:p>
      <w:pPr>
        <w:pStyle w:val="BodyText"/>
        <w:ind w:left="580"/>
      </w:pPr>
      <w:r>
        <w:rPr/>
        <w:t>The City does not anticipate refinancing existing debt.</w:t>
      </w:r>
    </w:p>
    <w:p>
      <w:pPr>
        <w:pStyle w:val="BodyText"/>
      </w:pPr>
    </w:p>
    <w:p>
      <w:pPr>
        <w:pStyle w:val="ListParagraph"/>
        <w:numPr>
          <w:ilvl w:val="0"/>
          <w:numId w:val="23"/>
        </w:numPr>
        <w:tabs>
          <w:tab w:pos="580" w:val="left" w:leader="none"/>
        </w:tabs>
        <w:spacing w:line="240" w:lineRule="auto" w:before="0" w:after="0"/>
        <w:ind w:left="580" w:right="607" w:hanging="360"/>
        <w:jc w:val="left"/>
        <w:rPr>
          <w:i/>
          <w:sz w:val="22"/>
        </w:rPr>
      </w:pPr>
      <w:r>
        <w:rPr>
          <w:sz w:val="22"/>
        </w:rPr>
        <w:t>If applicable to a planned HOME TBRA activity, a description of the preference for persons </w:t>
      </w:r>
      <w:r>
        <w:rPr>
          <w:spacing w:val="-5"/>
          <w:sz w:val="22"/>
        </w:rPr>
        <w:t>with </w:t>
      </w:r>
      <w:r>
        <w:rPr>
          <w:sz w:val="22"/>
        </w:rPr>
        <w:t>special needs or disabilities. (See 24 CFR 92.209(c)(2)(i) and CFR 91.220(l)(2)(vii)). </w:t>
      </w:r>
      <w:r>
        <w:rPr>
          <w:i/>
          <w:sz w:val="22"/>
        </w:rPr>
        <w:t>&lt;TYPE=[text] </w:t>
      </w:r>
      <w:r>
        <w:rPr>
          <w:i/>
          <w:sz w:val="22"/>
        </w:rPr>
        <w:t>REPORT_GUID=[A0BBB986408D8C25582AC4BE59FA99C5]&gt;</w:t>
      </w:r>
    </w:p>
    <w:p>
      <w:pPr>
        <w:spacing w:after="0" w:line="240" w:lineRule="auto"/>
        <w:jc w:val="left"/>
        <w:rPr>
          <w:sz w:val="22"/>
        </w:rPr>
        <w:sectPr>
          <w:headerReference w:type="default" r:id="rId215"/>
          <w:footerReference w:type="default" r:id="rId216"/>
          <w:pgSz w:w="12240" w:h="15840"/>
          <w:pgMar w:header="0" w:footer="1340" w:top="1400" w:bottom="1540" w:left="1220" w:right="1340"/>
          <w:pgNumType w:start="151"/>
        </w:sectPr>
      </w:pPr>
    </w:p>
    <w:p>
      <w:pPr>
        <w:pStyle w:val="BodyText"/>
        <w:spacing w:before="44"/>
        <w:ind w:left="580"/>
      </w:pPr>
      <w:r>
        <w:rPr/>
        <w:t>N/A</w:t>
      </w:r>
    </w:p>
    <w:p>
      <w:pPr>
        <w:pStyle w:val="ListParagraph"/>
        <w:numPr>
          <w:ilvl w:val="0"/>
          <w:numId w:val="23"/>
        </w:numPr>
        <w:tabs>
          <w:tab w:pos="580" w:val="left" w:leader="none"/>
        </w:tabs>
        <w:spacing w:line="240" w:lineRule="auto" w:before="0" w:after="0"/>
        <w:ind w:left="580" w:right="257" w:hanging="360"/>
        <w:jc w:val="left"/>
        <w:rPr>
          <w:sz w:val="22"/>
        </w:rPr>
      </w:pPr>
      <w:r>
        <w:rPr>
          <w:sz w:val="22"/>
        </w:rPr>
        <w:t>If applicable to a planned HOME TBRA activity, a description of how the preference for a specific category of individuals with disabilities (e.g. persons with HIV/AIDS or chronic mental illness) will narrow the gap in benefits and the preference is needed to narrow the gap in benefits and </w:t>
      </w:r>
      <w:r>
        <w:rPr>
          <w:spacing w:val="-3"/>
          <w:sz w:val="22"/>
        </w:rPr>
        <w:t>services </w:t>
      </w:r>
      <w:r>
        <w:rPr>
          <w:sz w:val="22"/>
        </w:rPr>
        <w:t>received by such persons. (See 24 CFR 92.209(c)(2)(ii) and 91.220(l)(2)(vii)).</w:t>
      </w:r>
    </w:p>
    <w:p>
      <w:pPr>
        <w:pStyle w:val="BodyText"/>
      </w:pPr>
    </w:p>
    <w:p>
      <w:pPr>
        <w:pStyle w:val="BodyText"/>
        <w:ind w:left="580"/>
      </w:pPr>
      <w:r>
        <w:rPr/>
        <w:t>N/A</w:t>
      </w:r>
    </w:p>
    <w:p>
      <w:pPr>
        <w:pStyle w:val="ListParagraph"/>
        <w:numPr>
          <w:ilvl w:val="0"/>
          <w:numId w:val="23"/>
        </w:numPr>
        <w:tabs>
          <w:tab w:pos="580" w:val="left" w:leader="none"/>
        </w:tabs>
        <w:spacing w:line="240" w:lineRule="auto" w:before="0" w:after="0"/>
        <w:ind w:left="580" w:right="189" w:hanging="360"/>
        <w:jc w:val="left"/>
        <w:rPr>
          <w:sz w:val="22"/>
        </w:rPr>
      </w:pPr>
      <w:r>
        <w:rPr>
          <w:sz w:val="22"/>
        </w:rPr>
        <w:t>If applicable, a description of any preference or limitation for rental housing projects. (See 24 CFR 92.253(d)(3) and CFR 91.220(l)(2)(vii)). Note: Preferences cannot be administered in a manner that limits the opportunities of persons on any basis prohibited by the laws listed under 24 CFR</w:t>
      </w:r>
      <w:r>
        <w:rPr>
          <w:spacing w:val="-18"/>
          <w:sz w:val="22"/>
        </w:rPr>
        <w:t> </w:t>
      </w:r>
      <w:r>
        <w:rPr>
          <w:sz w:val="22"/>
        </w:rPr>
        <w:t>5.105(a).</w:t>
      </w:r>
    </w:p>
    <w:p>
      <w:pPr>
        <w:pStyle w:val="BodyText"/>
      </w:pPr>
    </w:p>
    <w:p>
      <w:pPr>
        <w:pStyle w:val="BodyText"/>
        <w:ind w:left="580"/>
      </w:pPr>
      <w:r>
        <w:rPr/>
        <w:t>N/A</w:t>
      </w:r>
    </w:p>
    <w:sectPr>
      <w:headerReference w:type="default" r:id="rId217"/>
      <w:footerReference w:type="default" r:id="rId218"/>
      <w:pgSz w:w="12240" w:h="15840"/>
      <w:pgMar w:header="0" w:footer="1340" w:top="1400" w:bottom="1540" w:left="1220" w:right="1340"/>
      <w:pgNumType w:start="15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Arial">
    <w:altName w:val="Arial"/>
    <w:charset w:val="0"/>
    <w:family w:val="swiss"/>
    <w:pitch w:val="variable"/>
  </w:font>
  <w:font w:name="Arial Unicode MS">
    <w:altName w:val="Arial Unicode MS"/>
    <w:charset w:val="0"/>
    <w:family w:val="swiss"/>
    <w:pitch w:val="variable"/>
  </w:font>
  <w:font w:name="Courier New">
    <w:altName w:val="Courier New"/>
    <w:charset w:val="0"/>
    <w:family w:val="modern"/>
    <w:pitch w:val="fixed"/>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78656pt;width:166.25pt;height:41.85pt;mso-position-horizontal-relative:page;mso-position-vertical-relative:page;z-index:-26926796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Cambria"/>
                    <w:sz w:val="16"/>
                  </w:rPr>
                </w:pPr>
                <w:r>
                  <w:rPr>
                    <w:rFonts w:ascii="Cambria"/>
                    <w:sz w:val="16"/>
                  </w:rPr>
                  <w:t>OMB Control No: 2506-0117 (exp. 09/30/2021)</w:t>
                </w:r>
              </w:p>
            </w:txbxContent>
          </v:textbox>
          <w10:wrap type="none"/>
        </v:shape>
      </w:pict>
    </w:r>
    <w:r>
      <w:rPr/>
      <w:pict>
        <v:shape style="position:absolute;margin-left:263.121613pt;margin-top:713.78656pt;width:73.150pt;height:13pt;mso-position-horizontal-relative:page;mso-position-vertical-relative:page;z-index:-26926694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78656pt;width:17.150pt;height:13.25pt;mso-position-horizontal-relative:page;mso-position-vertical-relative:page;z-index:-26926592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4032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3929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3827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58</w:t>
                </w:r>
                <w:r>
                  <w:rPr/>
                  <w:fldChar w:fldCharType="end"/>
                </w:r>
              </w:p>
            </w:txbxContent>
          </v:textbox>
          <w10:wrap type="non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7817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7715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7612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148</w:t>
                </w:r>
                <w:r>
                  <w:rPr/>
                  <w:fldChar w:fldCharType="end"/>
                </w:r>
              </w:p>
            </w:txbxContent>
          </v:textbox>
          <w10:wrap type="non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7510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740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730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149</w:t>
                </w:r>
                <w:r>
                  <w:rPr/>
                  <w:fldChar w:fldCharType="end"/>
                </w:r>
              </w:p>
            </w:txbxContent>
          </v:textbox>
          <w10:wrap type="non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7203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7100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6.523926pt;margin-top:713.993164pt;width:18.75pt;height:13pt;mso-position-horizontal-relative:page;mso-position-vertical-relative:page;z-index:-268969984" type="#_x0000_t202" filled="false" stroked="false">
          <v:textbox inset="0,0,0,0">
            <w:txbxContent>
              <w:p>
                <w:pPr>
                  <w:pStyle w:val="BodyText"/>
                  <w:spacing w:line="244" w:lineRule="exact"/>
                  <w:ind w:left="20"/>
                </w:pPr>
                <w:r>
                  <w:rPr/>
                  <w:t>150</w:t>
                </w:r>
              </w:p>
            </w:txbxContent>
          </v:textbox>
          <w10:wrap type="non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6896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679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669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151</w:t>
                </w:r>
                <w:r>
                  <w:rPr/>
                  <w:fldChar w:fldCharType="end"/>
                </w:r>
              </w:p>
            </w:txbxContent>
          </v:textbox>
          <w10:wrap type="non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6588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6486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6384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152</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3724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3622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3520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59</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3417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3315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3212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60</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3110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300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290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2803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2700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2598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62</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2496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239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229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63</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2188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2086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1984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64</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1881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1779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1676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65</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1574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1472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1369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66</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1267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1164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1062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67</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263872"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0960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0857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0755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68</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0652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0550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0448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69</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0345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0243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0140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0038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19936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19833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71</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19731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19628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19526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72</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19424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19321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19219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73</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191168"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190144"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189120"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8809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8707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8604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6182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6080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5977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50</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8502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8400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8297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78</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8195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8092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7990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79</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178880"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17785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17683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17580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81</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174784"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7376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727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717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83</w:t>
                </w:r>
                <w:r>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7068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6966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6864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84</w:t>
                </w:r>
                <w:r>
                  <w:rPr/>
                  <w:fldChar w:fldCharType="end"/>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6761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6659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6556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85</w:t>
                </w:r>
                <w:r>
                  <w:rPr/>
                  <w:fldChar w:fldCharType="end"/>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6454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6352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6249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86</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6147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6044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5942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5875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5772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5670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52</w:t>
                </w:r>
                <w:r>
                  <w:rPr/>
                  <w:fldChar w:fldCharType="end"/>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5840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5737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5635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88</w:t>
                </w:r>
                <w:r>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5532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5430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5328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89</w:t>
                </w:r>
                <w:r>
                  <w:rPr/>
                  <w:fldChar w:fldCharType="end"/>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5225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5123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5020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90</w:t>
                </w:r>
                <w:r>
                  <w:rPr/>
                  <w:fldChar w:fldCharType="end"/>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4816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471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461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91</w:t>
                </w:r>
                <w:r>
                  <w:rPr/>
                  <w:fldChar w:fldCharType="end"/>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4406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4304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4201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92</w:t>
                </w:r>
                <w:r>
                  <w:rPr/>
                  <w:fldChar w:fldCharType="end"/>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4099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3996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3894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100</w:t>
                </w:r>
                <w:r>
                  <w:rPr/>
                  <w:fldChar w:fldCharType="end"/>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3792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3689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3587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94</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3484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3382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3280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95</w:t>
                </w:r>
                <w:r>
                  <w:rPr/>
                  <w:fldChar w:fldCharType="end"/>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3177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3075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2972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96</w:t>
                </w:r>
                <w:r>
                  <w:rPr/>
                  <w:fldChar w:fldCharType="end"/>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2870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276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266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97</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5568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5465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5363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53</w:t>
                </w:r>
                <w:r>
                  <w:rPr/>
                  <w:fldChar w:fldCharType="end"/>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2563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2460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2358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98</w:t>
                </w:r>
                <w:r>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2256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215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20.099121pt;margin-top:713.993164pt;width:17.150pt;height:13pt;mso-position-horizontal-relative:page;mso-position-vertical-relative:page;z-index:-2691205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99</w:t>
                </w:r>
                <w:r>
                  <w:rPr/>
                  <w:fldChar w:fldCharType="end"/>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1948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1846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1744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100</w:t>
                </w:r>
                <w:r>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1641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1539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1436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101</w:t>
                </w:r>
                <w:r>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1334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1232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1129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102</w:t>
                </w:r>
                <w:r>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1027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0924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0822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103</w:t>
                </w:r>
                <w:r>
                  <w:rPr/>
                  <w:fldChar w:fldCharType="end"/>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10720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10617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10515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104</w:t>
                </w:r>
                <w:r>
                  <w:rPr/>
                  <w:fldChar w:fldCharType="end"/>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104128"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10310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1020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1010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106</w:t>
                </w:r>
                <w:r>
                  <w:rPr/>
                  <w:fldChar w:fldCharType="end"/>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10003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9900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9798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107</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5260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5158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5056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54</w:t>
                </w:r>
                <w:r>
                  <w:rPr/>
                  <w:fldChar w:fldCharType="end"/>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9696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959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949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108</w:t>
                </w:r>
                <w:r>
                  <w:rPr/>
                  <w:fldChar w:fldCharType="end"/>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9286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9184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9081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109</w:t>
                </w:r>
                <w:r>
                  <w:rPr/>
                  <w:fldChar w:fldCharType="end"/>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8876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8774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5.974426pt;margin-top:547.420898pt;width:18.75pt;height:13pt;mso-position-horizontal-relative:page;mso-position-vertical-relative:page;z-index:-269086720" type="#_x0000_t202" filled="false" stroked="false">
          <v:textbox inset="0,0,0,0">
            <w:txbxContent>
              <w:p>
                <w:pPr>
                  <w:pStyle w:val="BodyText"/>
                  <w:spacing w:line="244" w:lineRule="exact"/>
                  <w:ind w:left="20"/>
                </w:pPr>
                <w:r>
                  <w:rPr/>
                  <w:t>110</w:t>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8569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8467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8364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111</w:t>
                </w:r>
                <w:r>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8262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8160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8057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112</w:t>
                </w:r>
                <w:r>
                  <w:rPr/>
                  <w:fldChar w:fldCharType="end"/>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7955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7852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7750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113</w:t>
                </w:r>
                <w:r>
                  <w:rPr/>
                  <w:fldChar w:fldCharType="end"/>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7648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7545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7443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114</w:t>
                </w:r>
                <w:r>
                  <w:rPr/>
                  <w:fldChar w:fldCharType="end"/>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7340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7238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7136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115</w:t>
                </w:r>
                <w:r>
                  <w:rPr/>
                  <w:fldChar w:fldCharType="end"/>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7033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6931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6828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116</w:t>
                </w:r>
                <w:r>
                  <w:rPr/>
                  <w:fldChar w:fldCharType="end"/>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6726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6624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6521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117</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4953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4851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4748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55</w:t>
                </w:r>
                <w:r>
                  <w:rPr/>
                  <w:fldChar w:fldCharType="end"/>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6419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6316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6214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118</w:t>
                </w:r>
                <w:r>
                  <w:rPr/>
                  <w:fldChar w:fldCharType="end"/>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6112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6009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5907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119</w:t>
                </w:r>
                <w:r>
                  <w:rPr/>
                  <w:fldChar w:fldCharType="end"/>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5804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5702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5.974426pt;margin-top:547.420898pt;width:18.75pt;height:13pt;mso-position-horizontal-relative:page;mso-position-vertical-relative:page;z-index:-269056000" type="#_x0000_t202" filled="false" stroked="false">
          <v:textbox inset="0,0,0,0">
            <w:txbxContent>
              <w:p>
                <w:pPr>
                  <w:pStyle w:val="BodyText"/>
                  <w:spacing w:line="244" w:lineRule="exact"/>
                  <w:ind w:left="20"/>
                </w:pPr>
                <w:r>
                  <w:rPr/>
                  <w:t>120</w:t>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054976"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053952"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5292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5190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5088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123</w:t>
                </w:r>
                <w:r>
                  <w:rPr/>
                  <w:fldChar w:fldCharType="end"/>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4985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4883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4780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124</w:t>
                </w:r>
                <w:r>
                  <w:rPr/>
                  <w:fldChar w:fldCharType="end"/>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046784"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04576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0447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0437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126</w:t>
                </w:r>
                <w:r>
                  <w:rPr/>
                  <w:fldChar w:fldCharType="end"/>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44.682617pt;width:168.35pt;height:10.95pt;mso-position-horizontal-relative:page;mso-position-vertical-relative:page;z-index:-269042688"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4646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4544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4441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56</w:t>
                </w:r>
                <w:r>
                  <w:rPr/>
                  <w:fldChar w:fldCharType="end"/>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4166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4064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3961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128</w:t>
                </w:r>
                <w:r>
                  <w:rPr/>
                  <w:fldChar w:fldCharType="end"/>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3859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3756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3654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129</w:t>
                </w:r>
                <w:r>
                  <w:rPr/>
                  <w:fldChar w:fldCharType="end"/>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3552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3449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5.974426pt;margin-top:547.420898pt;width:18.75pt;height:13pt;mso-position-horizontal-relative:page;mso-position-vertical-relative:page;z-index:-269033472" type="#_x0000_t202" filled="false" stroked="false">
          <v:textbox inset="0,0,0,0">
            <w:txbxContent>
              <w:p>
                <w:pPr>
                  <w:pStyle w:val="BodyText"/>
                  <w:spacing w:line="244" w:lineRule="exact"/>
                  <w:ind w:left="20"/>
                </w:pPr>
                <w:r>
                  <w:rPr/>
                  <w:t>130</w:t>
                </w:r>
              </w:p>
            </w:txbxContent>
          </v:textbox>
          <w10:wrap type="non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3244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3142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3040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131</w:t>
                </w:r>
                <w:r>
                  <w:rPr/>
                  <w:fldChar w:fldCharType="end"/>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2937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2835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2732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132</w:t>
                </w:r>
                <w:r>
                  <w:rPr/>
                  <w:fldChar w:fldCharType="end"/>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2630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252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242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133</w:t>
                </w:r>
                <w:r>
                  <w:rPr/>
                  <w:fldChar w:fldCharType="end"/>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2323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2220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2118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134</w:t>
                </w:r>
                <w:r>
                  <w:rPr/>
                  <w:fldChar w:fldCharType="end"/>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20160"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1913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1811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135</w:t>
                </w:r>
                <w:r>
                  <w:rPr/>
                  <w:fldChar w:fldCharType="end"/>
                </w:r>
              </w:p>
            </w:txbxContent>
          </v:textbox>
          <w10:wrap type="non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17088"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1606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1504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136</w:t>
                </w:r>
                <w:r>
                  <w:rPr/>
                  <w:fldChar w:fldCharType="end"/>
                </w:r>
              </w:p>
            </w:txbxContent>
          </v:textbox>
          <w10:wrap type="non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14016"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1299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1196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137</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24339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24236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9.549622pt;margin-top:547.420898pt;width:17.150pt;height:13pt;mso-position-horizontal-relative:page;mso-position-vertical-relative:page;z-index:-26924134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57</w:t>
                </w:r>
                <w:r>
                  <w:rPr/>
                  <w:fldChar w:fldCharType="end"/>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10944"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0992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0889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138</w:t>
                </w:r>
                <w:r>
                  <w:rPr/>
                  <w:fldChar w:fldCharType="end"/>
                </w:r>
              </w:p>
            </w:txbxContent>
          </v:textbox>
          <w10:wrap type="non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47.420898pt;width:173.15pt;height:28.2pt;mso-position-horizontal-relative:page;mso-position-vertical-relative:page;z-index:-269007872" type="#_x0000_t202" filled="false" stroked="false">
          <v:textbox inset="0,0,0,0">
            <w:txbxContent>
              <w:p>
                <w:pPr>
                  <w:pStyle w:val="BodyText"/>
                  <w:spacing w:line="244" w:lineRule="exact"/>
                  <w:ind w:left="1836"/>
                </w:pPr>
                <w:r>
                  <w:rPr/>
                  <w:t>Consolidated 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352.957611pt;margin-top:547.420898pt;width:73.150pt;height:13pt;mso-position-horizontal-relative:page;mso-position-vertical-relative:page;z-index:-26900684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613.974426pt;margin-top:547.420898pt;width:22.75pt;height:13pt;mso-position-horizontal-relative:page;mso-position-vertical-relative:page;z-index:-26900582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139</w:t>
                </w:r>
                <w:r>
                  <w:rPr/>
                  <w:fldChar w:fldCharType="end"/>
                </w:r>
              </w:p>
            </w:txbxContent>
          </v:textbox>
          <w10:wrap type="non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564.682617pt;width:168.35pt;height:10.95pt;mso-position-horizontal-relative:page;mso-position-vertical-relative:page;z-index:-269004800" type="#_x0000_t202" filled="false" stroked="false">
          <v:textbox inset="0,0,0,0">
            <w:txbxContent>
              <w:p>
                <w:pPr>
                  <w:spacing w:before="14"/>
                  <w:ind w:left="20" w:right="0" w:firstLine="0"/>
                  <w:jc w:val="left"/>
                  <w:rPr>
                    <w:rFonts w:ascii="Arial"/>
                    <w:sz w:val="16"/>
                  </w:rPr>
                </w:pPr>
                <w:r>
                  <w:rPr>
                    <w:rFonts w:ascii="Arial"/>
                    <w:sz w:val="16"/>
                  </w:rPr>
                  <w:t>OMB Control No: 2506-0117 (exp. 09/30/2021)</w:t>
                </w:r>
              </w:p>
            </w:txbxContent>
          </v:textbox>
          <w10:wrap type="non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003776"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9002752"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9001728"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141</w:t>
                </w:r>
                <w:r>
                  <w:rPr/>
                  <w:fldChar w:fldCharType="end"/>
                </w:r>
              </w:p>
            </w:txbxContent>
          </v:textbox>
          <w10:wrap type="non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900070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9968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9865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142</w:t>
                </w:r>
                <w:r>
                  <w:rPr/>
                  <w:fldChar w:fldCharType="end"/>
                </w:r>
              </w:p>
            </w:txbxContent>
          </v:textbox>
          <w10:wrap type="non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9660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9558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9456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143</w:t>
                </w:r>
                <w:r>
                  <w:rPr/>
                  <w:fldChar w:fldCharType="end"/>
                </w:r>
              </w:p>
            </w:txbxContent>
          </v:textbox>
          <w10:wrap type="non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92512"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91488"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90464"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144</w:t>
                </w:r>
                <w:r>
                  <w:rPr/>
                  <w:fldChar w:fldCharType="end"/>
                </w:r>
              </w:p>
            </w:txbxContent>
          </v:textbox>
          <w10:wrap type="non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89440"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88416"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87392"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145</w:t>
                </w:r>
                <w:r>
                  <w:rPr/>
                  <w:fldChar w:fldCharType="end"/>
                </w:r>
              </w:p>
            </w:txbxContent>
          </v:textbox>
          <w10:wrap type="non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85344"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84320"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83296"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146</w:t>
                </w:r>
                <w:r>
                  <w:rPr/>
                  <w:fldChar w:fldCharType="end"/>
                </w:r>
              </w:p>
            </w:txbxContent>
          </v:textbox>
          <w10:wrap type="non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6.5pt;margin-top:713.993164pt;width:168.35pt;height:41.65pt;mso-position-horizontal-relative:page;mso-position-vertical-relative:page;z-index:-268981248" type="#_x0000_t202" filled="false" stroked="false">
          <v:textbox inset="0,0,0,0">
            <w:txbxContent>
              <w:p>
                <w:pPr>
                  <w:pStyle w:val="BodyText"/>
                  <w:spacing w:line="244" w:lineRule="exact"/>
                  <w:ind w:left="225"/>
                </w:pPr>
                <w:r>
                  <w:rPr/>
                  <w:t>Consolidated</w:t>
                </w:r>
              </w:p>
              <w:p>
                <w:pPr>
                  <w:pStyle w:val="BodyText"/>
                  <w:ind w:left="126"/>
                </w:pPr>
                <w:r>
                  <w:rPr/>
                  <w:t>Plan</w:t>
                </w:r>
              </w:p>
              <w:p>
                <w:pPr>
                  <w:spacing w:before="116"/>
                  <w:ind w:left="20" w:right="0" w:firstLine="0"/>
                  <w:jc w:val="left"/>
                  <w:rPr>
                    <w:rFonts w:ascii="Arial"/>
                    <w:sz w:val="16"/>
                  </w:rPr>
                </w:pPr>
                <w:r>
                  <w:rPr>
                    <w:rFonts w:ascii="Arial"/>
                    <w:sz w:val="16"/>
                  </w:rPr>
                  <w:t>OMB Control No: 2506-0117 (exp. 09/30/2021)</w:t>
                </w:r>
              </w:p>
            </w:txbxContent>
          </v:textbox>
          <w10:wrap type="none"/>
        </v:shape>
      </w:pict>
    </w:r>
    <w:r>
      <w:rPr/>
      <w:pict>
        <v:shape style="position:absolute;margin-left:263.121613pt;margin-top:713.993164pt;width:73.150pt;height:13pt;mso-position-horizontal-relative:page;mso-position-vertical-relative:page;z-index:-268980224" type="#_x0000_t202" filled="false" stroked="false">
          <v:textbox inset="0,0,0,0">
            <w:txbxContent>
              <w:p>
                <w:pPr>
                  <w:pStyle w:val="BodyText"/>
                  <w:spacing w:line="244" w:lineRule="exact"/>
                  <w:ind w:left="20"/>
                </w:pPr>
                <w:r>
                  <w:rPr/>
                  <w:t>BLOOMINGTON</w:t>
                </w:r>
              </w:p>
            </w:txbxContent>
          </v:textbox>
          <w10:wrap type="none"/>
        </v:shape>
      </w:pict>
    </w:r>
    <w:r>
      <w:rPr/>
      <w:pict>
        <v:shape style="position:absolute;margin-left:514.523926pt;margin-top:713.993164pt;width:22.75pt;height:13pt;mso-position-horizontal-relative:page;mso-position-vertical-relative:page;z-index:-268979200" type="#_x0000_t202" filled="false" stroked="false">
          <v:textbox inset="0,0,0,0">
            <w:txbxContent>
              <w:p>
                <w:pPr>
                  <w:pStyle w:val="BodyText"/>
                  <w:spacing w:line="244" w:lineRule="exact"/>
                  <w:ind w:left="60"/>
                </w:pPr>
                <w:r>
                  <w:rPr/>
                  <w:fldChar w:fldCharType="begin"/>
                </w:r>
                <w:r>
                  <w:rPr/>
                  <w:instrText> PAGE </w:instrText>
                </w:r>
                <w:r>
                  <w:rPr/>
                  <w:fldChar w:fldCharType="separate"/>
                </w:r>
                <w:r>
                  <w:rPr/>
                  <w:t>147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585693pt;margin-top:37.427734pt;width:28.85pt;height:13pt;mso-position-horizontal-relative:page;mso-position-vertical-relative:page;z-index:-269268992" type="#_x0000_t202" filled="false" stroked="false">
          <v:textbox inset="0,0,0,0">
            <w:txbxContent>
              <w:p>
                <w:pPr>
                  <w:pStyle w:val="BodyText"/>
                  <w:spacing w:line="244" w:lineRule="exact"/>
                  <w:ind w:left="20"/>
                </w:pPr>
                <w:r>
                  <w:rPr/>
                  <w:t>Demo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585693pt;margin-top:37.427734pt;width:28.85pt;height:13pt;mso-position-horizontal-relative:page;mso-position-vertical-relative:page;z-index:-269264896" type="#_x0000_t202" filled="false" stroked="false">
          <v:textbox inset="0,0,0,0">
            <w:txbxContent>
              <w:p>
                <w:pPr>
                  <w:pStyle w:val="BodyText"/>
                  <w:spacing w:line="244" w:lineRule="exact"/>
                  <w:ind w:left="20"/>
                </w:pPr>
                <w:r>
                  <w:rPr/>
                  <w:t>Demo</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585693pt;margin-top:37.427734pt;width:28.85pt;height:13pt;mso-position-horizontal-relative:page;mso-position-vertical-relative:page;z-index:-269262848" type="#_x0000_t202" filled="false" stroked="false">
          <v:textbox inset="0,0,0,0">
            <w:txbxContent>
              <w:p>
                <w:pPr>
                  <w:pStyle w:val="BodyText"/>
                  <w:spacing w:line="244" w:lineRule="exact"/>
                  <w:ind w:left="20"/>
                </w:pPr>
                <w:r>
                  <w:rPr/>
                  <w:t>Demo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53125pt;width:466.3pt;height:18pt;mso-position-horizontal-relative:page;mso-position-vertical-relative:page;z-index:-269149184" type="#_x0000_t202" filled="false" stroked="false">
          <v:textbox inset="0,0,0,0">
            <w:txbxContent>
              <w:p>
                <w:pPr>
                  <w:spacing w:line="346" w:lineRule="exact" w:before="0"/>
                  <w:ind w:left="20" w:right="0" w:firstLine="0"/>
                  <w:jc w:val="left"/>
                  <w:rPr>
                    <w:b/>
                    <w:sz w:val="32"/>
                  </w:rPr>
                </w:pPr>
                <w:r>
                  <w:rPr>
                    <w:b/>
                    <w:color w:val="0E4661"/>
                    <w:sz w:val="32"/>
                  </w:rPr>
                  <w:t>MA-60 Broadband Needs of Housing occupied by Low- and Moderate-</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53125pt;width:351.5pt;height:18pt;mso-position-horizontal-relative:page;mso-position-vertical-relative:page;z-index:-269145088" type="#_x0000_t202" filled="false" stroked="false">
          <v:textbox inset="0,0,0,0">
            <w:txbxContent>
              <w:p>
                <w:pPr>
                  <w:spacing w:line="346" w:lineRule="exact" w:before="0"/>
                  <w:ind w:left="20" w:right="0" w:firstLine="0"/>
                  <w:jc w:val="left"/>
                  <w:rPr>
                    <w:b/>
                    <w:sz w:val="32"/>
                  </w:rPr>
                </w:pPr>
                <w:r>
                  <w:rPr>
                    <w:b/>
                    <w:color w:val="0E4661"/>
                    <w:sz w:val="32"/>
                  </w:rPr>
                  <w:t>MA-65 Hazard Mitigation - 91.210(a)(5), 91.310(a)(3)</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2.53125pt;width:418.2pt;height:18pt;mso-position-horizontal-relative:page;mso-position-vertical-relative:page;z-index:-269093888" type="#_x0000_t202" filled="false" stroked="false">
          <v:textbox inset="0,0,0,0">
            <w:txbxContent>
              <w:p>
                <w:pPr>
                  <w:spacing w:line="346" w:lineRule="exact" w:before="0"/>
                  <w:ind w:left="20" w:right="0" w:firstLine="0"/>
                  <w:jc w:val="left"/>
                  <w:rPr>
                    <w:b/>
                    <w:sz w:val="32"/>
                  </w:rPr>
                </w:pPr>
                <w:r>
                  <w:rPr>
                    <w:b/>
                    <w:color w:val="0E4661"/>
                    <w:sz w:val="32"/>
                  </w:rPr>
                  <w:t>SP-50 Public Housing Accessibility and Involvement – 91.215(c)</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84.53125pt;width:320.350pt;height:18pt;mso-position-horizontal-relative:page;mso-position-vertical-relative:page;z-index:-269089792" type="#_x0000_t202" filled="false" stroked="false">
          <v:textbox inset="0,0,0,0">
            <w:txbxContent>
              <w:p>
                <w:pPr>
                  <w:spacing w:line="346" w:lineRule="exact" w:before="0"/>
                  <w:ind w:left="20" w:right="0" w:firstLine="0"/>
                  <w:jc w:val="left"/>
                  <w:rPr>
                    <w:b/>
                    <w:sz w:val="32"/>
                  </w:rPr>
                </w:pPr>
                <w:r>
                  <w:rPr>
                    <w:b/>
                    <w:color w:val="0E4661"/>
                    <w:sz w:val="32"/>
                  </w:rPr>
                  <w:t>SP-55 Barriers to affordable housing – 91.215(h)</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53125pt;width:221.15pt;height:39.6pt;mso-position-horizontal-relative:page;mso-position-vertical-relative:page;z-index:-268997632" type="#_x0000_t202" filled="false" stroked="false">
          <v:textbox inset="0,0,0,0">
            <w:txbxContent>
              <w:p>
                <w:pPr>
                  <w:spacing w:line="346" w:lineRule="exact" w:before="0"/>
                  <w:ind w:left="20" w:right="0" w:firstLine="0"/>
                  <w:jc w:val="left"/>
                  <w:rPr>
                    <w:b/>
                    <w:sz w:val="32"/>
                  </w:rPr>
                </w:pPr>
                <w:r>
                  <w:rPr>
                    <w:b/>
                    <w:color w:val="0E4661"/>
                    <w:sz w:val="32"/>
                  </w:rPr>
                  <w:t>AP-60 Public Housing – 91.220(h)</w:t>
                </w:r>
              </w:p>
              <w:p>
                <w:pPr>
                  <w:spacing w:before="137"/>
                  <w:ind w:left="20" w:right="0" w:firstLine="0"/>
                  <w:jc w:val="left"/>
                  <w:rPr>
                    <w:b/>
                    <w:sz w:val="24"/>
                  </w:rPr>
                </w:pPr>
                <w:r>
                  <w:rPr>
                    <w:b/>
                    <w:sz w:val="24"/>
                  </w:rPr>
                  <w:t>Introduction</w:t>
                </w:r>
              </w:p>
            </w:txbxContent>
          </v:textbox>
          <w10:wrap type="non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53125pt;width:414.8pt;height:39.6pt;mso-position-horizontal-relative:page;mso-position-vertical-relative:page;z-index:-268993536" type="#_x0000_t202" filled="false" stroked="false">
          <v:textbox inset="0,0,0,0">
            <w:txbxContent>
              <w:p>
                <w:pPr>
                  <w:spacing w:line="346" w:lineRule="exact" w:before="0"/>
                  <w:ind w:left="20" w:right="0" w:firstLine="0"/>
                  <w:jc w:val="left"/>
                  <w:rPr>
                    <w:b/>
                    <w:sz w:val="32"/>
                  </w:rPr>
                </w:pPr>
                <w:r>
                  <w:rPr>
                    <w:b/>
                    <w:color w:val="0E4661"/>
                    <w:sz w:val="32"/>
                  </w:rPr>
                  <w:t>AP-65 Homeless and Other Special Needs Activities – 91.220(i)</w:t>
                </w:r>
              </w:p>
              <w:p>
                <w:pPr>
                  <w:spacing w:before="137"/>
                  <w:ind w:left="20" w:right="0" w:firstLine="0"/>
                  <w:jc w:val="left"/>
                  <w:rPr>
                    <w:b/>
                    <w:sz w:val="24"/>
                  </w:rPr>
                </w:pPr>
                <w:r>
                  <w:rPr>
                    <w:b/>
                    <w:sz w:val="24"/>
                  </w:rPr>
                  <w:t>Introduction</w:t>
                </w:r>
              </w:p>
            </w:txbxContent>
          </v:textbox>
          <w10:wrap type="non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53125pt;width:317.95pt;height:39.6pt;mso-position-horizontal-relative:page;mso-position-vertical-relative:page;z-index:-268986368" type="#_x0000_t202" filled="false" stroked="false">
          <v:textbox inset="0,0,0,0">
            <w:txbxContent>
              <w:p>
                <w:pPr>
                  <w:spacing w:line="346" w:lineRule="exact" w:before="0"/>
                  <w:ind w:left="20" w:right="0" w:firstLine="0"/>
                  <w:jc w:val="left"/>
                  <w:rPr>
                    <w:b/>
                    <w:sz w:val="32"/>
                  </w:rPr>
                </w:pPr>
                <w:r>
                  <w:rPr>
                    <w:b/>
                    <w:color w:val="0E4661"/>
                    <w:sz w:val="32"/>
                  </w:rPr>
                  <w:t>AP-75 Barriers to affordable housing – 91.220(j)</w:t>
                </w:r>
              </w:p>
              <w:p>
                <w:pPr>
                  <w:spacing w:before="137"/>
                  <w:ind w:left="20" w:right="0" w:firstLine="0"/>
                  <w:jc w:val="left"/>
                  <w:rPr>
                    <w:b/>
                    <w:sz w:val="24"/>
                  </w:rPr>
                </w:pPr>
                <w:r>
                  <w:rPr>
                    <w:b/>
                    <w:sz w:val="24"/>
                  </w:rPr>
                  <w:t>Introduction:</w:t>
                </w:r>
              </w:p>
            </w:txbxContent>
          </v:textbox>
          <w10:wrap type="non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4.53125pt;width:214.4pt;height:39.6pt;mso-position-horizontal-relative:page;mso-position-vertical-relative:page;z-index:-268982272" type="#_x0000_t202" filled="false" stroked="false">
          <v:textbox inset="0,0,0,0">
            <w:txbxContent>
              <w:p>
                <w:pPr>
                  <w:spacing w:line="346" w:lineRule="exact" w:before="0"/>
                  <w:ind w:left="20" w:right="0" w:firstLine="0"/>
                  <w:jc w:val="left"/>
                  <w:rPr>
                    <w:b/>
                    <w:sz w:val="32"/>
                  </w:rPr>
                </w:pPr>
                <w:r>
                  <w:rPr>
                    <w:b/>
                    <w:color w:val="0E4661"/>
                    <w:sz w:val="32"/>
                  </w:rPr>
                  <w:t>AP-85 Other Actions – 91.220(k)</w:t>
                </w:r>
              </w:p>
              <w:p>
                <w:pPr>
                  <w:spacing w:before="137"/>
                  <w:ind w:left="20" w:right="0" w:firstLine="0"/>
                  <w:jc w:val="left"/>
                  <w:rPr>
                    <w:b/>
                    <w:sz w:val="24"/>
                  </w:rPr>
                </w:pPr>
                <w:r>
                  <w:rPr>
                    <w:b/>
                    <w:sz w:val="24"/>
                  </w:rPr>
                  <w:t>Introduction: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580" w:hanging="360"/>
      </w:pPr>
      <w:rPr>
        <w:rFonts w:hint="default" w:ascii="Symbol" w:hAnsi="Symbol" w:eastAsia="Symbol" w:cs="Symbol"/>
        <w:w w:val="100"/>
        <w:sz w:val="22"/>
        <w:szCs w:val="22"/>
      </w:rPr>
    </w:lvl>
    <w:lvl w:ilvl="1">
      <w:start w:val="0"/>
      <w:numFmt w:val="bullet"/>
      <w:lvlText w:val="•"/>
      <w:lvlJc w:val="left"/>
      <w:pPr>
        <w:ind w:left="1490" w:hanging="360"/>
      </w:pPr>
      <w:rPr>
        <w:rFonts w:hint="default"/>
      </w:rPr>
    </w:lvl>
    <w:lvl w:ilvl="2">
      <w:start w:val="0"/>
      <w:numFmt w:val="bullet"/>
      <w:lvlText w:val="•"/>
      <w:lvlJc w:val="left"/>
      <w:pPr>
        <w:ind w:left="2400" w:hanging="360"/>
      </w:pPr>
      <w:rPr>
        <w:rFonts w:hint="default"/>
      </w:rPr>
    </w:lvl>
    <w:lvl w:ilvl="3">
      <w:start w:val="0"/>
      <w:numFmt w:val="bullet"/>
      <w:lvlText w:val="•"/>
      <w:lvlJc w:val="left"/>
      <w:pPr>
        <w:ind w:left="3310" w:hanging="360"/>
      </w:pPr>
      <w:rPr>
        <w:rFonts w:hint="default"/>
      </w:rPr>
    </w:lvl>
    <w:lvl w:ilvl="4">
      <w:start w:val="0"/>
      <w:numFmt w:val="bullet"/>
      <w:lvlText w:val="•"/>
      <w:lvlJc w:val="left"/>
      <w:pPr>
        <w:ind w:left="4220" w:hanging="360"/>
      </w:pPr>
      <w:rPr>
        <w:rFonts w:hint="default"/>
      </w:rPr>
    </w:lvl>
    <w:lvl w:ilvl="5">
      <w:start w:val="0"/>
      <w:numFmt w:val="bullet"/>
      <w:lvlText w:val="•"/>
      <w:lvlJc w:val="left"/>
      <w:pPr>
        <w:ind w:left="5130" w:hanging="360"/>
      </w:pPr>
      <w:rPr>
        <w:rFonts w:hint="default"/>
      </w:rPr>
    </w:lvl>
    <w:lvl w:ilvl="6">
      <w:start w:val="0"/>
      <w:numFmt w:val="bullet"/>
      <w:lvlText w:val="•"/>
      <w:lvlJc w:val="left"/>
      <w:pPr>
        <w:ind w:left="6040" w:hanging="360"/>
      </w:pPr>
      <w:rPr>
        <w:rFonts w:hint="default"/>
      </w:rPr>
    </w:lvl>
    <w:lvl w:ilvl="7">
      <w:start w:val="0"/>
      <w:numFmt w:val="bullet"/>
      <w:lvlText w:val="•"/>
      <w:lvlJc w:val="left"/>
      <w:pPr>
        <w:ind w:left="6950" w:hanging="360"/>
      </w:pPr>
      <w:rPr>
        <w:rFonts w:hint="default"/>
      </w:rPr>
    </w:lvl>
    <w:lvl w:ilvl="8">
      <w:start w:val="0"/>
      <w:numFmt w:val="bullet"/>
      <w:lvlText w:val="•"/>
      <w:lvlJc w:val="left"/>
      <w:pPr>
        <w:ind w:left="7860" w:hanging="360"/>
      </w:pPr>
      <w:rPr>
        <w:rFonts w:hint="default"/>
      </w:rPr>
    </w:lvl>
  </w:abstractNum>
  <w:abstractNum w:abstractNumId="22">
    <w:multiLevelType w:val="hybridMultilevel"/>
    <w:lvl w:ilvl="0">
      <w:start w:val="1"/>
      <w:numFmt w:val="decimal"/>
      <w:lvlText w:val="%1."/>
      <w:lvlJc w:val="left"/>
      <w:pPr>
        <w:ind w:left="580" w:hanging="360"/>
        <w:jc w:val="left"/>
      </w:pPr>
      <w:rPr>
        <w:rFonts w:hint="default" w:ascii="Calibri" w:hAnsi="Calibri" w:eastAsia="Calibri" w:cs="Calibri"/>
        <w:spacing w:val="-9"/>
        <w:w w:val="100"/>
        <w:sz w:val="22"/>
        <w:szCs w:val="22"/>
      </w:rPr>
    </w:lvl>
    <w:lvl w:ilvl="1">
      <w:start w:val="0"/>
      <w:numFmt w:val="bullet"/>
      <w:lvlText w:val="•"/>
      <w:lvlJc w:val="left"/>
      <w:pPr>
        <w:ind w:left="1490" w:hanging="360"/>
      </w:pPr>
      <w:rPr>
        <w:rFonts w:hint="default"/>
      </w:rPr>
    </w:lvl>
    <w:lvl w:ilvl="2">
      <w:start w:val="0"/>
      <w:numFmt w:val="bullet"/>
      <w:lvlText w:val="•"/>
      <w:lvlJc w:val="left"/>
      <w:pPr>
        <w:ind w:left="2400" w:hanging="360"/>
      </w:pPr>
      <w:rPr>
        <w:rFonts w:hint="default"/>
      </w:rPr>
    </w:lvl>
    <w:lvl w:ilvl="3">
      <w:start w:val="0"/>
      <w:numFmt w:val="bullet"/>
      <w:lvlText w:val="•"/>
      <w:lvlJc w:val="left"/>
      <w:pPr>
        <w:ind w:left="3310" w:hanging="360"/>
      </w:pPr>
      <w:rPr>
        <w:rFonts w:hint="default"/>
      </w:rPr>
    </w:lvl>
    <w:lvl w:ilvl="4">
      <w:start w:val="0"/>
      <w:numFmt w:val="bullet"/>
      <w:lvlText w:val="•"/>
      <w:lvlJc w:val="left"/>
      <w:pPr>
        <w:ind w:left="4220" w:hanging="360"/>
      </w:pPr>
      <w:rPr>
        <w:rFonts w:hint="default"/>
      </w:rPr>
    </w:lvl>
    <w:lvl w:ilvl="5">
      <w:start w:val="0"/>
      <w:numFmt w:val="bullet"/>
      <w:lvlText w:val="•"/>
      <w:lvlJc w:val="left"/>
      <w:pPr>
        <w:ind w:left="5130" w:hanging="360"/>
      </w:pPr>
      <w:rPr>
        <w:rFonts w:hint="default"/>
      </w:rPr>
    </w:lvl>
    <w:lvl w:ilvl="6">
      <w:start w:val="0"/>
      <w:numFmt w:val="bullet"/>
      <w:lvlText w:val="•"/>
      <w:lvlJc w:val="left"/>
      <w:pPr>
        <w:ind w:left="6040" w:hanging="360"/>
      </w:pPr>
      <w:rPr>
        <w:rFonts w:hint="default"/>
      </w:rPr>
    </w:lvl>
    <w:lvl w:ilvl="7">
      <w:start w:val="0"/>
      <w:numFmt w:val="bullet"/>
      <w:lvlText w:val="•"/>
      <w:lvlJc w:val="left"/>
      <w:pPr>
        <w:ind w:left="6950" w:hanging="360"/>
      </w:pPr>
      <w:rPr>
        <w:rFonts w:hint="default"/>
      </w:rPr>
    </w:lvl>
    <w:lvl w:ilvl="8">
      <w:start w:val="0"/>
      <w:numFmt w:val="bullet"/>
      <w:lvlText w:val="•"/>
      <w:lvlJc w:val="left"/>
      <w:pPr>
        <w:ind w:left="7860" w:hanging="360"/>
      </w:pPr>
      <w:rPr>
        <w:rFonts w:hint="default"/>
      </w:rPr>
    </w:lvl>
  </w:abstractNum>
  <w:abstractNum w:abstractNumId="21">
    <w:multiLevelType w:val="hybridMultilevel"/>
    <w:lvl w:ilvl="0">
      <w:start w:val="1"/>
      <w:numFmt w:val="decimal"/>
      <w:lvlText w:val="%1."/>
      <w:lvlJc w:val="left"/>
      <w:pPr>
        <w:ind w:left="551" w:hanging="217"/>
        <w:jc w:val="left"/>
      </w:pPr>
      <w:rPr>
        <w:rFonts w:hint="default" w:ascii="Calibri" w:hAnsi="Calibri" w:eastAsia="Calibri" w:cs="Calibri"/>
        <w:w w:val="100"/>
        <w:sz w:val="22"/>
        <w:szCs w:val="22"/>
      </w:rPr>
    </w:lvl>
    <w:lvl w:ilvl="1">
      <w:start w:val="0"/>
      <w:numFmt w:val="bullet"/>
      <w:lvlText w:val="•"/>
      <w:lvlJc w:val="left"/>
      <w:pPr>
        <w:ind w:left="1472" w:hanging="217"/>
      </w:pPr>
      <w:rPr>
        <w:rFonts w:hint="default"/>
      </w:rPr>
    </w:lvl>
    <w:lvl w:ilvl="2">
      <w:start w:val="0"/>
      <w:numFmt w:val="bullet"/>
      <w:lvlText w:val="•"/>
      <w:lvlJc w:val="left"/>
      <w:pPr>
        <w:ind w:left="2384" w:hanging="217"/>
      </w:pPr>
      <w:rPr>
        <w:rFonts w:hint="default"/>
      </w:rPr>
    </w:lvl>
    <w:lvl w:ilvl="3">
      <w:start w:val="0"/>
      <w:numFmt w:val="bullet"/>
      <w:lvlText w:val="•"/>
      <w:lvlJc w:val="left"/>
      <w:pPr>
        <w:ind w:left="3296" w:hanging="217"/>
      </w:pPr>
      <w:rPr>
        <w:rFonts w:hint="default"/>
      </w:rPr>
    </w:lvl>
    <w:lvl w:ilvl="4">
      <w:start w:val="0"/>
      <w:numFmt w:val="bullet"/>
      <w:lvlText w:val="•"/>
      <w:lvlJc w:val="left"/>
      <w:pPr>
        <w:ind w:left="4208" w:hanging="217"/>
      </w:pPr>
      <w:rPr>
        <w:rFonts w:hint="default"/>
      </w:rPr>
    </w:lvl>
    <w:lvl w:ilvl="5">
      <w:start w:val="0"/>
      <w:numFmt w:val="bullet"/>
      <w:lvlText w:val="•"/>
      <w:lvlJc w:val="left"/>
      <w:pPr>
        <w:ind w:left="5120" w:hanging="217"/>
      </w:pPr>
      <w:rPr>
        <w:rFonts w:hint="default"/>
      </w:rPr>
    </w:lvl>
    <w:lvl w:ilvl="6">
      <w:start w:val="0"/>
      <w:numFmt w:val="bullet"/>
      <w:lvlText w:val="•"/>
      <w:lvlJc w:val="left"/>
      <w:pPr>
        <w:ind w:left="6032" w:hanging="217"/>
      </w:pPr>
      <w:rPr>
        <w:rFonts w:hint="default"/>
      </w:rPr>
    </w:lvl>
    <w:lvl w:ilvl="7">
      <w:start w:val="0"/>
      <w:numFmt w:val="bullet"/>
      <w:lvlText w:val="•"/>
      <w:lvlJc w:val="left"/>
      <w:pPr>
        <w:ind w:left="6944" w:hanging="217"/>
      </w:pPr>
      <w:rPr>
        <w:rFonts w:hint="default"/>
      </w:rPr>
    </w:lvl>
    <w:lvl w:ilvl="8">
      <w:start w:val="0"/>
      <w:numFmt w:val="bullet"/>
      <w:lvlText w:val="•"/>
      <w:lvlJc w:val="left"/>
      <w:pPr>
        <w:ind w:left="7856" w:hanging="217"/>
      </w:pPr>
      <w:rPr>
        <w:rFonts w:hint="default"/>
      </w:rPr>
    </w:lvl>
  </w:abstractNum>
  <w:abstractNum w:abstractNumId="20">
    <w:multiLevelType w:val="hybridMultilevel"/>
    <w:lvl w:ilvl="0">
      <w:start w:val="1"/>
      <w:numFmt w:val="decimal"/>
      <w:lvlText w:val="%1."/>
      <w:lvlJc w:val="left"/>
      <w:pPr>
        <w:ind w:left="940" w:hanging="360"/>
        <w:jc w:val="left"/>
      </w:pPr>
      <w:rPr>
        <w:rFonts w:hint="default" w:ascii="Arial" w:hAnsi="Arial" w:eastAsia="Arial" w:cs="Arial"/>
        <w:spacing w:val="-2"/>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9">
    <w:multiLevelType w:val="hybridMultilevel"/>
    <w:lvl w:ilvl="0">
      <w:start w:val="1"/>
      <w:numFmt w:val="decimal"/>
      <w:lvlText w:val="%1."/>
      <w:lvlJc w:val="left"/>
      <w:pPr>
        <w:ind w:left="940" w:hanging="360"/>
        <w:jc w:val="left"/>
      </w:pPr>
      <w:rPr>
        <w:rFonts w:hint="default" w:ascii="Arial" w:hAnsi="Arial" w:eastAsia="Arial" w:cs="Arial"/>
        <w:spacing w:val="-6"/>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8">
    <w:multiLevelType w:val="hybridMultilevel"/>
    <w:lvl w:ilvl="0">
      <w:start w:val="1"/>
      <w:numFmt w:val="decimal"/>
      <w:lvlText w:val="%1."/>
      <w:lvlJc w:val="left"/>
      <w:pPr>
        <w:ind w:left="940" w:hanging="360"/>
        <w:jc w:val="left"/>
      </w:pPr>
      <w:rPr>
        <w:rFonts w:hint="default" w:ascii="Arial" w:hAnsi="Arial" w:eastAsia="Arial" w:cs="Arial"/>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7">
    <w:multiLevelType w:val="hybridMultilevel"/>
    <w:lvl w:ilvl="0">
      <w:start w:val="1"/>
      <w:numFmt w:val="decimal"/>
      <w:lvlText w:val="%1."/>
      <w:lvlJc w:val="left"/>
      <w:pPr>
        <w:ind w:left="940" w:hanging="360"/>
        <w:jc w:val="left"/>
      </w:pPr>
      <w:rPr>
        <w:rFonts w:hint="default" w:ascii="Arial" w:hAnsi="Arial" w:eastAsia="Arial" w:cs="Arial"/>
        <w:spacing w:val="-9"/>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6">
    <w:multiLevelType w:val="hybridMultilevel"/>
    <w:lvl w:ilvl="0">
      <w:start w:val="1"/>
      <w:numFmt w:val="decimal"/>
      <w:lvlText w:val="%1."/>
      <w:lvlJc w:val="left"/>
      <w:pPr>
        <w:ind w:left="940" w:hanging="360"/>
        <w:jc w:val="left"/>
      </w:pPr>
      <w:rPr>
        <w:rFonts w:hint="default" w:ascii="Arial" w:hAnsi="Arial" w:eastAsia="Arial" w:cs="Arial"/>
        <w:spacing w:val="-2"/>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5">
    <w:multiLevelType w:val="hybridMultilevel"/>
    <w:lvl w:ilvl="0">
      <w:start w:val="1"/>
      <w:numFmt w:val="decimal"/>
      <w:lvlText w:val="%1."/>
      <w:lvlJc w:val="left"/>
      <w:pPr>
        <w:ind w:left="940" w:hanging="360"/>
        <w:jc w:val="left"/>
      </w:pPr>
      <w:rPr>
        <w:rFonts w:hint="default" w:ascii="Arial" w:hAnsi="Arial" w:eastAsia="Arial" w:cs="Arial"/>
        <w:spacing w:val="-3"/>
        <w:w w:val="100"/>
        <w:sz w:val="24"/>
        <w:szCs w:val="24"/>
      </w:rPr>
    </w:lvl>
    <w:lvl w:ilvl="1">
      <w:start w:val="0"/>
      <w:numFmt w:val="bullet"/>
      <w:lvlText w:val="•"/>
      <w:lvlJc w:val="left"/>
      <w:pPr>
        <w:ind w:left="225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876" w:hanging="360"/>
      </w:pPr>
      <w:rPr>
        <w:rFonts w:hint="default"/>
      </w:rPr>
    </w:lvl>
    <w:lvl w:ilvl="4">
      <w:start w:val="0"/>
      <w:numFmt w:val="bullet"/>
      <w:lvlText w:val="•"/>
      <w:lvlJc w:val="left"/>
      <w:pPr>
        <w:ind w:left="6188" w:hanging="360"/>
      </w:pPr>
      <w:rPr>
        <w:rFonts w:hint="default"/>
      </w:rPr>
    </w:lvl>
    <w:lvl w:ilvl="5">
      <w:start w:val="0"/>
      <w:numFmt w:val="bullet"/>
      <w:lvlText w:val="•"/>
      <w:lvlJc w:val="left"/>
      <w:pPr>
        <w:ind w:left="7500" w:hanging="360"/>
      </w:pPr>
      <w:rPr>
        <w:rFonts w:hint="default"/>
      </w:rPr>
    </w:lvl>
    <w:lvl w:ilvl="6">
      <w:start w:val="0"/>
      <w:numFmt w:val="bullet"/>
      <w:lvlText w:val="•"/>
      <w:lvlJc w:val="left"/>
      <w:pPr>
        <w:ind w:left="8812" w:hanging="360"/>
      </w:pPr>
      <w:rPr>
        <w:rFonts w:hint="default"/>
      </w:rPr>
    </w:lvl>
    <w:lvl w:ilvl="7">
      <w:start w:val="0"/>
      <w:numFmt w:val="bullet"/>
      <w:lvlText w:val="•"/>
      <w:lvlJc w:val="left"/>
      <w:pPr>
        <w:ind w:left="10124" w:hanging="360"/>
      </w:pPr>
      <w:rPr>
        <w:rFonts w:hint="default"/>
      </w:rPr>
    </w:lvl>
    <w:lvl w:ilvl="8">
      <w:start w:val="0"/>
      <w:numFmt w:val="bullet"/>
      <w:lvlText w:val="•"/>
      <w:lvlJc w:val="left"/>
      <w:pPr>
        <w:ind w:left="11436" w:hanging="360"/>
      </w:pPr>
      <w:rPr>
        <w:rFonts w:hint="default"/>
      </w:rPr>
    </w:lvl>
  </w:abstractNum>
  <w:abstractNum w:abstractNumId="14">
    <w:multiLevelType w:val="hybridMultilevel"/>
    <w:lvl w:ilvl="0">
      <w:start w:val="0"/>
      <w:numFmt w:val="bullet"/>
      <w:lvlText w:val=""/>
      <w:lvlJc w:val="left"/>
      <w:pPr>
        <w:ind w:left="995" w:hanging="360"/>
      </w:pPr>
      <w:rPr>
        <w:rFonts w:hint="default" w:ascii="Symbol" w:hAnsi="Symbol" w:eastAsia="Symbol" w:cs="Symbol"/>
        <w:w w:val="100"/>
        <w:sz w:val="22"/>
        <w:szCs w:val="22"/>
      </w:rPr>
    </w:lvl>
    <w:lvl w:ilvl="1">
      <w:start w:val="0"/>
      <w:numFmt w:val="bullet"/>
      <w:lvlText w:val="o"/>
      <w:lvlJc w:val="left"/>
      <w:pPr>
        <w:ind w:left="1715" w:hanging="360"/>
      </w:pPr>
      <w:rPr>
        <w:rFonts w:hint="default" w:ascii="Courier New" w:hAnsi="Courier New" w:eastAsia="Courier New" w:cs="Courier New"/>
        <w:spacing w:val="-6"/>
        <w:w w:val="100"/>
        <w:position w:val="1"/>
        <w:sz w:val="22"/>
        <w:szCs w:val="22"/>
      </w:rPr>
    </w:lvl>
    <w:lvl w:ilvl="2">
      <w:start w:val="0"/>
      <w:numFmt w:val="bullet"/>
      <w:lvlText w:val="•"/>
      <w:lvlJc w:val="left"/>
      <w:pPr>
        <w:ind w:left="2604" w:hanging="360"/>
      </w:pPr>
      <w:rPr>
        <w:rFonts w:hint="default"/>
      </w:rPr>
    </w:lvl>
    <w:lvl w:ilvl="3">
      <w:start w:val="0"/>
      <w:numFmt w:val="bullet"/>
      <w:lvlText w:val="•"/>
      <w:lvlJc w:val="left"/>
      <w:pPr>
        <w:ind w:left="3488" w:hanging="360"/>
      </w:pPr>
      <w:rPr>
        <w:rFonts w:hint="default"/>
      </w:rPr>
    </w:lvl>
    <w:lvl w:ilvl="4">
      <w:start w:val="0"/>
      <w:numFmt w:val="bullet"/>
      <w:lvlText w:val="•"/>
      <w:lvlJc w:val="left"/>
      <w:pPr>
        <w:ind w:left="4373" w:hanging="360"/>
      </w:pPr>
      <w:rPr>
        <w:rFonts w:hint="default"/>
      </w:rPr>
    </w:lvl>
    <w:lvl w:ilvl="5">
      <w:start w:val="0"/>
      <w:numFmt w:val="bullet"/>
      <w:lvlText w:val="•"/>
      <w:lvlJc w:val="left"/>
      <w:pPr>
        <w:ind w:left="5257" w:hanging="360"/>
      </w:pPr>
      <w:rPr>
        <w:rFonts w:hint="default"/>
      </w:rPr>
    </w:lvl>
    <w:lvl w:ilvl="6">
      <w:start w:val="0"/>
      <w:numFmt w:val="bullet"/>
      <w:lvlText w:val="•"/>
      <w:lvlJc w:val="left"/>
      <w:pPr>
        <w:ind w:left="6142" w:hanging="360"/>
      </w:pPr>
      <w:rPr>
        <w:rFonts w:hint="default"/>
      </w:rPr>
    </w:lvl>
    <w:lvl w:ilvl="7">
      <w:start w:val="0"/>
      <w:numFmt w:val="bullet"/>
      <w:lvlText w:val="•"/>
      <w:lvlJc w:val="left"/>
      <w:pPr>
        <w:ind w:left="7026" w:hanging="360"/>
      </w:pPr>
      <w:rPr>
        <w:rFonts w:hint="default"/>
      </w:rPr>
    </w:lvl>
    <w:lvl w:ilvl="8">
      <w:start w:val="0"/>
      <w:numFmt w:val="bullet"/>
      <w:lvlText w:val="•"/>
      <w:lvlJc w:val="left"/>
      <w:pPr>
        <w:ind w:left="7911" w:hanging="360"/>
      </w:pPr>
      <w:rPr>
        <w:rFonts w:hint="default"/>
      </w:rPr>
    </w:lvl>
  </w:abstractNum>
  <w:abstractNum w:abstractNumId="13">
    <w:multiLevelType w:val="hybridMultilevel"/>
    <w:lvl w:ilvl="0">
      <w:start w:val="0"/>
      <w:numFmt w:val="bullet"/>
      <w:lvlText w:val="•"/>
      <w:lvlJc w:val="left"/>
      <w:pPr>
        <w:ind w:left="940" w:hanging="360"/>
      </w:pPr>
      <w:rPr>
        <w:rFonts w:hint="default" w:ascii="Calibri" w:hAnsi="Calibri" w:eastAsia="Calibri" w:cs="Calibri"/>
        <w:w w:val="100"/>
        <w:sz w:val="24"/>
        <w:szCs w:val="24"/>
      </w:rPr>
    </w:lvl>
    <w:lvl w:ilvl="1">
      <w:start w:val="0"/>
      <w:numFmt w:val="bullet"/>
      <w:lvlText w:val="•"/>
      <w:lvlJc w:val="left"/>
      <w:pPr>
        <w:ind w:left="193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34" w:hanging="360"/>
      </w:pPr>
      <w:rPr>
        <w:rFonts w:hint="default"/>
      </w:rPr>
    </w:lvl>
    <w:lvl w:ilvl="4">
      <w:start w:val="0"/>
      <w:numFmt w:val="bullet"/>
      <w:lvlText w:val="•"/>
      <w:lvlJc w:val="left"/>
      <w:pPr>
        <w:ind w:left="493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28" w:hanging="360"/>
      </w:pPr>
      <w:rPr>
        <w:rFonts w:hint="default"/>
      </w:rPr>
    </w:lvl>
    <w:lvl w:ilvl="7">
      <w:start w:val="0"/>
      <w:numFmt w:val="bullet"/>
      <w:lvlText w:val="•"/>
      <w:lvlJc w:val="left"/>
      <w:pPr>
        <w:ind w:left="7926" w:hanging="360"/>
      </w:pPr>
      <w:rPr>
        <w:rFonts w:hint="default"/>
      </w:rPr>
    </w:lvl>
    <w:lvl w:ilvl="8">
      <w:start w:val="0"/>
      <w:numFmt w:val="bullet"/>
      <w:lvlText w:val="•"/>
      <w:lvlJc w:val="left"/>
      <w:pPr>
        <w:ind w:left="8924" w:hanging="360"/>
      </w:pPr>
      <w:rPr>
        <w:rFonts w:hint="default"/>
      </w:rPr>
    </w:lvl>
  </w:abstractNum>
  <w:abstractNum w:abstractNumId="12">
    <w:multiLevelType w:val="hybridMultilevel"/>
    <w:lvl w:ilvl="0">
      <w:start w:val="0"/>
      <w:numFmt w:val="bullet"/>
      <w:lvlText w:val="●"/>
      <w:lvlJc w:val="left"/>
      <w:pPr>
        <w:ind w:left="832" w:hanging="360"/>
      </w:pPr>
      <w:rPr>
        <w:rFonts w:hint="default" w:ascii="Arial Unicode MS" w:hAnsi="Arial Unicode MS" w:eastAsia="Arial Unicode MS" w:cs="Arial Unicode MS"/>
        <w:w w:val="100"/>
        <w:position w:val="2"/>
        <w:sz w:val="22"/>
        <w:szCs w:val="22"/>
      </w:rPr>
    </w:lvl>
    <w:lvl w:ilvl="1">
      <w:start w:val="0"/>
      <w:numFmt w:val="bullet"/>
      <w:lvlText w:val="•"/>
      <w:lvlJc w:val="left"/>
      <w:pPr>
        <w:ind w:left="1527" w:hanging="360"/>
      </w:pPr>
      <w:rPr>
        <w:rFonts w:hint="default"/>
      </w:rPr>
    </w:lvl>
    <w:lvl w:ilvl="2">
      <w:start w:val="0"/>
      <w:numFmt w:val="bullet"/>
      <w:lvlText w:val="•"/>
      <w:lvlJc w:val="left"/>
      <w:pPr>
        <w:ind w:left="2214"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588" w:hanging="360"/>
      </w:pPr>
      <w:rPr>
        <w:rFonts w:hint="default"/>
      </w:rPr>
    </w:lvl>
    <w:lvl w:ilvl="5">
      <w:start w:val="0"/>
      <w:numFmt w:val="bullet"/>
      <w:lvlText w:val="•"/>
      <w:lvlJc w:val="left"/>
      <w:pPr>
        <w:ind w:left="4275" w:hanging="360"/>
      </w:pPr>
      <w:rPr>
        <w:rFonts w:hint="default"/>
      </w:rPr>
    </w:lvl>
    <w:lvl w:ilvl="6">
      <w:start w:val="0"/>
      <w:numFmt w:val="bullet"/>
      <w:lvlText w:val="•"/>
      <w:lvlJc w:val="left"/>
      <w:pPr>
        <w:ind w:left="4962" w:hanging="360"/>
      </w:pPr>
      <w:rPr>
        <w:rFonts w:hint="default"/>
      </w:rPr>
    </w:lvl>
    <w:lvl w:ilvl="7">
      <w:start w:val="0"/>
      <w:numFmt w:val="bullet"/>
      <w:lvlText w:val="•"/>
      <w:lvlJc w:val="left"/>
      <w:pPr>
        <w:ind w:left="5649" w:hanging="360"/>
      </w:pPr>
      <w:rPr>
        <w:rFonts w:hint="default"/>
      </w:rPr>
    </w:lvl>
    <w:lvl w:ilvl="8">
      <w:start w:val="0"/>
      <w:numFmt w:val="bullet"/>
      <w:lvlText w:val="•"/>
      <w:lvlJc w:val="left"/>
      <w:pPr>
        <w:ind w:left="6336" w:hanging="360"/>
      </w:pPr>
      <w:rPr>
        <w:rFonts w:hint="default"/>
      </w:rPr>
    </w:lvl>
  </w:abstractNum>
  <w:abstractNum w:abstractNumId="11">
    <w:multiLevelType w:val="hybridMultilevel"/>
    <w:lvl w:ilvl="0">
      <w:start w:val="0"/>
      <w:numFmt w:val="bullet"/>
      <w:lvlText w:val="●"/>
      <w:lvlJc w:val="left"/>
      <w:pPr>
        <w:ind w:left="832" w:hanging="360"/>
      </w:pPr>
      <w:rPr>
        <w:rFonts w:hint="default" w:ascii="Arial Unicode MS" w:hAnsi="Arial Unicode MS" w:eastAsia="Arial Unicode MS" w:cs="Arial Unicode MS"/>
        <w:w w:val="100"/>
        <w:position w:val="2"/>
        <w:sz w:val="22"/>
        <w:szCs w:val="22"/>
      </w:rPr>
    </w:lvl>
    <w:lvl w:ilvl="1">
      <w:start w:val="0"/>
      <w:numFmt w:val="bullet"/>
      <w:lvlText w:val="•"/>
      <w:lvlJc w:val="left"/>
      <w:pPr>
        <w:ind w:left="1527" w:hanging="360"/>
      </w:pPr>
      <w:rPr>
        <w:rFonts w:hint="default"/>
      </w:rPr>
    </w:lvl>
    <w:lvl w:ilvl="2">
      <w:start w:val="0"/>
      <w:numFmt w:val="bullet"/>
      <w:lvlText w:val="•"/>
      <w:lvlJc w:val="left"/>
      <w:pPr>
        <w:ind w:left="2214"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588" w:hanging="360"/>
      </w:pPr>
      <w:rPr>
        <w:rFonts w:hint="default"/>
      </w:rPr>
    </w:lvl>
    <w:lvl w:ilvl="5">
      <w:start w:val="0"/>
      <w:numFmt w:val="bullet"/>
      <w:lvlText w:val="•"/>
      <w:lvlJc w:val="left"/>
      <w:pPr>
        <w:ind w:left="4275" w:hanging="360"/>
      </w:pPr>
      <w:rPr>
        <w:rFonts w:hint="default"/>
      </w:rPr>
    </w:lvl>
    <w:lvl w:ilvl="6">
      <w:start w:val="0"/>
      <w:numFmt w:val="bullet"/>
      <w:lvlText w:val="•"/>
      <w:lvlJc w:val="left"/>
      <w:pPr>
        <w:ind w:left="4962" w:hanging="360"/>
      </w:pPr>
      <w:rPr>
        <w:rFonts w:hint="default"/>
      </w:rPr>
    </w:lvl>
    <w:lvl w:ilvl="7">
      <w:start w:val="0"/>
      <w:numFmt w:val="bullet"/>
      <w:lvlText w:val="•"/>
      <w:lvlJc w:val="left"/>
      <w:pPr>
        <w:ind w:left="5649" w:hanging="360"/>
      </w:pPr>
      <w:rPr>
        <w:rFonts w:hint="default"/>
      </w:rPr>
    </w:lvl>
    <w:lvl w:ilvl="8">
      <w:start w:val="0"/>
      <w:numFmt w:val="bullet"/>
      <w:lvlText w:val="•"/>
      <w:lvlJc w:val="left"/>
      <w:pPr>
        <w:ind w:left="6336" w:hanging="360"/>
      </w:pPr>
      <w:rPr>
        <w:rFonts w:hint="default"/>
      </w:rPr>
    </w:lvl>
  </w:abstractNum>
  <w:abstractNum w:abstractNumId="10">
    <w:multiLevelType w:val="hybridMultilevel"/>
    <w:lvl w:ilvl="0">
      <w:start w:val="0"/>
      <w:numFmt w:val="bullet"/>
      <w:lvlText w:val="●"/>
      <w:lvlJc w:val="left"/>
      <w:pPr>
        <w:ind w:left="832" w:hanging="360"/>
      </w:pPr>
      <w:rPr>
        <w:rFonts w:hint="default" w:ascii="Arial Unicode MS" w:hAnsi="Arial Unicode MS" w:eastAsia="Arial Unicode MS" w:cs="Arial Unicode MS"/>
        <w:w w:val="100"/>
        <w:position w:val="2"/>
        <w:sz w:val="22"/>
        <w:szCs w:val="22"/>
      </w:rPr>
    </w:lvl>
    <w:lvl w:ilvl="1">
      <w:start w:val="0"/>
      <w:numFmt w:val="bullet"/>
      <w:lvlText w:val="•"/>
      <w:lvlJc w:val="left"/>
      <w:pPr>
        <w:ind w:left="1527" w:hanging="360"/>
      </w:pPr>
      <w:rPr>
        <w:rFonts w:hint="default"/>
      </w:rPr>
    </w:lvl>
    <w:lvl w:ilvl="2">
      <w:start w:val="0"/>
      <w:numFmt w:val="bullet"/>
      <w:lvlText w:val="•"/>
      <w:lvlJc w:val="left"/>
      <w:pPr>
        <w:ind w:left="2214" w:hanging="360"/>
      </w:pPr>
      <w:rPr>
        <w:rFonts w:hint="default"/>
      </w:rPr>
    </w:lvl>
    <w:lvl w:ilvl="3">
      <w:start w:val="0"/>
      <w:numFmt w:val="bullet"/>
      <w:lvlText w:val="•"/>
      <w:lvlJc w:val="left"/>
      <w:pPr>
        <w:ind w:left="2901" w:hanging="360"/>
      </w:pPr>
      <w:rPr>
        <w:rFonts w:hint="default"/>
      </w:rPr>
    </w:lvl>
    <w:lvl w:ilvl="4">
      <w:start w:val="0"/>
      <w:numFmt w:val="bullet"/>
      <w:lvlText w:val="•"/>
      <w:lvlJc w:val="left"/>
      <w:pPr>
        <w:ind w:left="3588" w:hanging="360"/>
      </w:pPr>
      <w:rPr>
        <w:rFonts w:hint="default"/>
      </w:rPr>
    </w:lvl>
    <w:lvl w:ilvl="5">
      <w:start w:val="0"/>
      <w:numFmt w:val="bullet"/>
      <w:lvlText w:val="•"/>
      <w:lvlJc w:val="left"/>
      <w:pPr>
        <w:ind w:left="4275" w:hanging="360"/>
      </w:pPr>
      <w:rPr>
        <w:rFonts w:hint="default"/>
      </w:rPr>
    </w:lvl>
    <w:lvl w:ilvl="6">
      <w:start w:val="0"/>
      <w:numFmt w:val="bullet"/>
      <w:lvlText w:val="•"/>
      <w:lvlJc w:val="left"/>
      <w:pPr>
        <w:ind w:left="4962" w:hanging="360"/>
      </w:pPr>
      <w:rPr>
        <w:rFonts w:hint="default"/>
      </w:rPr>
    </w:lvl>
    <w:lvl w:ilvl="7">
      <w:start w:val="0"/>
      <w:numFmt w:val="bullet"/>
      <w:lvlText w:val="•"/>
      <w:lvlJc w:val="left"/>
      <w:pPr>
        <w:ind w:left="5649" w:hanging="360"/>
      </w:pPr>
      <w:rPr>
        <w:rFonts w:hint="default"/>
      </w:rPr>
    </w:lvl>
    <w:lvl w:ilvl="8">
      <w:start w:val="0"/>
      <w:numFmt w:val="bullet"/>
      <w:lvlText w:val="•"/>
      <w:lvlJc w:val="left"/>
      <w:pPr>
        <w:ind w:left="6336" w:hanging="360"/>
      </w:pPr>
      <w:rPr>
        <w:rFonts w:hint="default"/>
      </w:rPr>
    </w:lvl>
  </w:abstractNum>
  <w:abstractNum w:abstractNumId="9">
    <w:multiLevelType w:val="hybridMultilevel"/>
    <w:lvl w:ilvl="0">
      <w:start w:val="4"/>
      <w:numFmt w:val="decimal"/>
      <w:lvlText w:val="%1)"/>
      <w:lvlJc w:val="left"/>
      <w:pPr>
        <w:ind w:left="347" w:hanging="228"/>
        <w:jc w:val="left"/>
      </w:pPr>
      <w:rPr>
        <w:rFonts w:hint="default" w:ascii="Calibri" w:hAnsi="Calibri" w:eastAsia="Calibri" w:cs="Calibri"/>
        <w:w w:val="100"/>
        <w:sz w:val="22"/>
        <w:szCs w:val="22"/>
      </w:rPr>
    </w:lvl>
    <w:lvl w:ilvl="1">
      <w:start w:val="0"/>
      <w:numFmt w:val="bullet"/>
      <w:lvlText w:val="●"/>
      <w:lvlJc w:val="left"/>
      <w:pPr>
        <w:ind w:left="840" w:hanging="360"/>
      </w:pPr>
      <w:rPr>
        <w:rFonts w:hint="default" w:ascii="Arial Unicode MS" w:hAnsi="Arial Unicode MS" w:eastAsia="Arial Unicode MS" w:cs="Arial Unicode MS"/>
        <w:w w:val="100"/>
        <w:sz w:val="20"/>
        <w:szCs w:val="20"/>
      </w:rPr>
    </w:lvl>
    <w:lvl w:ilvl="2">
      <w:start w:val="0"/>
      <w:numFmt w:val="bullet"/>
      <w:lvlText w:val="●"/>
      <w:lvlJc w:val="left"/>
      <w:pPr>
        <w:ind w:left="940" w:hanging="360"/>
      </w:pPr>
      <w:rPr>
        <w:rFonts w:hint="default"/>
        <w:w w:val="100"/>
        <w:position w:val="2"/>
      </w:rPr>
    </w:lvl>
    <w:lvl w:ilvl="3">
      <w:start w:val="0"/>
      <w:numFmt w:val="bullet"/>
      <w:lvlText w:val="•"/>
      <w:lvlJc w:val="left"/>
      <w:pPr>
        <w:ind w:left="2175" w:hanging="360"/>
      </w:pPr>
      <w:rPr>
        <w:rFonts w:hint="default"/>
      </w:rPr>
    </w:lvl>
    <w:lvl w:ilvl="4">
      <w:start w:val="0"/>
      <w:numFmt w:val="bullet"/>
      <w:lvlText w:val="•"/>
      <w:lvlJc w:val="left"/>
      <w:pPr>
        <w:ind w:left="3410" w:hanging="360"/>
      </w:pPr>
      <w:rPr>
        <w:rFonts w:hint="default"/>
      </w:rPr>
    </w:lvl>
    <w:lvl w:ilvl="5">
      <w:start w:val="0"/>
      <w:numFmt w:val="bullet"/>
      <w:lvlText w:val="•"/>
      <w:lvlJc w:val="left"/>
      <w:pPr>
        <w:ind w:left="4645" w:hanging="360"/>
      </w:pPr>
      <w:rPr>
        <w:rFonts w:hint="default"/>
      </w:rPr>
    </w:lvl>
    <w:lvl w:ilvl="6">
      <w:start w:val="0"/>
      <w:numFmt w:val="bullet"/>
      <w:lvlText w:val="•"/>
      <w:lvlJc w:val="left"/>
      <w:pPr>
        <w:ind w:left="5880" w:hanging="360"/>
      </w:pPr>
      <w:rPr>
        <w:rFonts w:hint="default"/>
      </w:rPr>
    </w:lvl>
    <w:lvl w:ilvl="7">
      <w:start w:val="0"/>
      <w:numFmt w:val="bullet"/>
      <w:lvlText w:val="•"/>
      <w:lvlJc w:val="left"/>
      <w:pPr>
        <w:ind w:left="7115" w:hanging="360"/>
      </w:pPr>
      <w:rPr>
        <w:rFonts w:hint="default"/>
      </w:rPr>
    </w:lvl>
    <w:lvl w:ilvl="8">
      <w:start w:val="0"/>
      <w:numFmt w:val="bullet"/>
      <w:lvlText w:val="•"/>
      <w:lvlJc w:val="left"/>
      <w:pPr>
        <w:ind w:left="8350" w:hanging="360"/>
      </w:pPr>
      <w:rPr>
        <w:rFonts w:hint="default"/>
      </w:rPr>
    </w:lvl>
  </w:abstractNum>
  <w:abstractNum w:abstractNumId="8">
    <w:multiLevelType w:val="hybridMultilevel"/>
    <w:lvl w:ilvl="0">
      <w:start w:val="1"/>
      <w:numFmt w:val="decimal"/>
      <w:lvlText w:val="%1."/>
      <w:lvlJc w:val="left"/>
      <w:pPr>
        <w:ind w:left="840" w:hanging="360"/>
        <w:jc w:val="left"/>
      </w:pPr>
      <w:rPr>
        <w:rFonts w:hint="default" w:ascii="Calibri" w:hAnsi="Calibri" w:eastAsia="Calibri" w:cs="Calibri"/>
        <w:spacing w:val="-6"/>
        <w:w w:val="100"/>
        <w:sz w:val="22"/>
        <w:szCs w:val="22"/>
      </w:rPr>
    </w:lvl>
    <w:lvl w:ilvl="1">
      <w:start w:val="0"/>
      <w:numFmt w:val="bullet"/>
      <w:lvlText w:val="•"/>
      <w:lvlJc w:val="left"/>
      <w:pPr>
        <w:ind w:left="2076" w:hanging="360"/>
      </w:pPr>
      <w:rPr>
        <w:rFonts w:hint="default"/>
      </w:rPr>
    </w:lvl>
    <w:lvl w:ilvl="2">
      <w:start w:val="0"/>
      <w:numFmt w:val="bullet"/>
      <w:lvlText w:val="•"/>
      <w:lvlJc w:val="left"/>
      <w:pPr>
        <w:ind w:left="3312" w:hanging="360"/>
      </w:pPr>
      <w:rPr>
        <w:rFonts w:hint="default"/>
      </w:rPr>
    </w:lvl>
    <w:lvl w:ilvl="3">
      <w:start w:val="0"/>
      <w:numFmt w:val="bullet"/>
      <w:lvlText w:val="•"/>
      <w:lvlJc w:val="left"/>
      <w:pPr>
        <w:ind w:left="4548" w:hanging="360"/>
      </w:pPr>
      <w:rPr>
        <w:rFonts w:hint="default"/>
      </w:rPr>
    </w:lvl>
    <w:lvl w:ilvl="4">
      <w:start w:val="0"/>
      <w:numFmt w:val="bullet"/>
      <w:lvlText w:val="•"/>
      <w:lvlJc w:val="left"/>
      <w:pPr>
        <w:ind w:left="5784" w:hanging="360"/>
      </w:pPr>
      <w:rPr>
        <w:rFonts w:hint="default"/>
      </w:rPr>
    </w:lvl>
    <w:lvl w:ilvl="5">
      <w:start w:val="0"/>
      <w:numFmt w:val="bullet"/>
      <w:lvlText w:val="•"/>
      <w:lvlJc w:val="left"/>
      <w:pPr>
        <w:ind w:left="7020" w:hanging="360"/>
      </w:pPr>
      <w:rPr>
        <w:rFonts w:hint="default"/>
      </w:rPr>
    </w:lvl>
    <w:lvl w:ilvl="6">
      <w:start w:val="0"/>
      <w:numFmt w:val="bullet"/>
      <w:lvlText w:val="•"/>
      <w:lvlJc w:val="left"/>
      <w:pPr>
        <w:ind w:left="8256" w:hanging="360"/>
      </w:pPr>
      <w:rPr>
        <w:rFonts w:hint="default"/>
      </w:rPr>
    </w:lvl>
    <w:lvl w:ilvl="7">
      <w:start w:val="0"/>
      <w:numFmt w:val="bullet"/>
      <w:lvlText w:val="•"/>
      <w:lvlJc w:val="left"/>
      <w:pPr>
        <w:ind w:left="9492" w:hanging="360"/>
      </w:pPr>
      <w:rPr>
        <w:rFonts w:hint="default"/>
      </w:rPr>
    </w:lvl>
    <w:lvl w:ilvl="8">
      <w:start w:val="0"/>
      <w:numFmt w:val="bullet"/>
      <w:lvlText w:val="•"/>
      <w:lvlJc w:val="left"/>
      <w:pPr>
        <w:ind w:left="10728" w:hanging="360"/>
      </w:pPr>
      <w:rPr>
        <w:rFonts w:hint="default"/>
      </w:rPr>
    </w:lvl>
  </w:abstractNum>
  <w:abstractNum w:abstractNumId="7">
    <w:multiLevelType w:val="hybridMultilevel"/>
    <w:lvl w:ilvl="0">
      <w:start w:val="1"/>
      <w:numFmt w:val="decimal"/>
      <w:lvlText w:val="%1."/>
      <w:lvlJc w:val="left"/>
      <w:pPr>
        <w:ind w:left="840" w:hanging="360"/>
        <w:jc w:val="left"/>
      </w:pPr>
      <w:rPr>
        <w:rFonts w:hint="default" w:ascii="Calibri" w:hAnsi="Calibri" w:eastAsia="Calibri" w:cs="Calibri"/>
        <w:spacing w:val="-6"/>
        <w:w w:val="100"/>
        <w:sz w:val="22"/>
        <w:szCs w:val="22"/>
      </w:rPr>
    </w:lvl>
    <w:lvl w:ilvl="1">
      <w:start w:val="0"/>
      <w:numFmt w:val="bullet"/>
      <w:lvlText w:val="o"/>
      <w:lvlJc w:val="left"/>
      <w:pPr>
        <w:ind w:left="1560" w:hanging="360"/>
      </w:pPr>
      <w:rPr>
        <w:rFonts w:hint="default" w:ascii="Courier New" w:hAnsi="Courier New" w:eastAsia="Courier New" w:cs="Courier New"/>
        <w:w w:val="100"/>
        <w:position w:val="1"/>
        <w:sz w:val="20"/>
        <w:szCs w:val="20"/>
      </w:rPr>
    </w:lvl>
    <w:lvl w:ilvl="2">
      <w:start w:val="0"/>
      <w:numFmt w:val="bullet"/>
      <w:lvlText w:val="•"/>
      <w:lvlJc w:val="left"/>
      <w:pPr>
        <w:ind w:left="2853" w:hanging="360"/>
      </w:pPr>
      <w:rPr>
        <w:rFonts w:hint="default"/>
      </w:rPr>
    </w:lvl>
    <w:lvl w:ilvl="3">
      <w:start w:val="0"/>
      <w:numFmt w:val="bullet"/>
      <w:lvlText w:val="•"/>
      <w:lvlJc w:val="left"/>
      <w:pPr>
        <w:ind w:left="4146" w:hanging="360"/>
      </w:pPr>
      <w:rPr>
        <w:rFonts w:hint="default"/>
      </w:rPr>
    </w:lvl>
    <w:lvl w:ilvl="4">
      <w:start w:val="0"/>
      <w:numFmt w:val="bullet"/>
      <w:lvlText w:val="•"/>
      <w:lvlJc w:val="left"/>
      <w:pPr>
        <w:ind w:left="5440" w:hanging="360"/>
      </w:pPr>
      <w:rPr>
        <w:rFonts w:hint="default"/>
      </w:rPr>
    </w:lvl>
    <w:lvl w:ilvl="5">
      <w:start w:val="0"/>
      <w:numFmt w:val="bullet"/>
      <w:lvlText w:val="•"/>
      <w:lvlJc w:val="left"/>
      <w:pPr>
        <w:ind w:left="6733" w:hanging="360"/>
      </w:pPr>
      <w:rPr>
        <w:rFonts w:hint="default"/>
      </w:rPr>
    </w:lvl>
    <w:lvl w:ilvl="6">
      <w:start w:val="0"/>
      <w:numFmt w:val="bullet"/>
      <w:lvlText w:val="•"/>
      <w:lvlJc w:val="left"/>
      <w:pPr>
        <w:ind w:left="8026" w:hanging="360"/>
      </w:pPr>
      <w:rPr>
        <w:rFonts w:hint="default"/>
      </w:rPr>
    </w:lvl>
    <w:lvl w:ilvl="7">
      <w:start w:val="0"/>
      <w:numFmt w:val="bullet"/>
      <w:lvlText w:val="•"/>
      <w:lvlJc w:val="left"/>
      <w:pPr>
        <w:ind w:left="9320" w:hanging="360"/>
      </w:pPr>
      <w:rPr>
        <w:rFonts w:hint="default"/>
      </w:rPr>
    </w:lvl>
    <w:lvl w:ilvl="8">
      <w:start w:val="0"/>
      <w:numFmt w:val="bullet"/>
      <w:lvlText w:val="•"/>
      <w:lvlJc w:val="left"/>
      <w:pPr>
        <w:ind w:left="10613" w:hanging="360"/>
      </w:pPr>
      <w:rPr>
        <w:rFonts w:hint="default"/>
      </w:rPr>
    </w:lvl>
  </w:abstractNum>
  <w:abstractNum w:abstractNumId="6">
    <w:multiLevelType w:val="hybridMultilevel"/>
    <w:lvl w:ilvl="0">
      <w:start w:val="1"/>
      <w:numFmt w:val="decimal"/>
      <w:lvlText w:val="%1."/>
      <w:lvlJc w:val="left"/>
      <w:pPr>
        <w:ind w:left="220" w:hanging="217"/>
        <w:jc w:val="left"/>
      </w:pPr>
      <w:rPr>
        <w:rFonts w:hint="default" w:ascii="Calibri" w:hAnsi="Calibri" w:eastAsia="Calibri" w:cs="Calibri"/>
        <w:spacing w:val="-6"/>
        <w:w w:val="100"/>
        <w:sz w:val="22"/>
        <w:szCs w:val="22"/>
      </w:rPr>
    </w:lvl>
    <w:lvl w:ilvl="1">
      <w:start w:val="0"/>
      <w:numFmt w:val="bullet"/>
      <w:lvlText w:val="●"/>
      <w:lvlJc w:val="left"/>
      <w:pPr>
        <w:ind w:left="840" w:hanging="360"/>
      </w:pPr>
      <w:rPr>
        <w:rFonts w:hint="default"/>
        <w:w w:val="100"/>
        <w:position w:val="1"/>
      </w:rPr>
    </w:lvl>
    <w:lvl w:ilvl="2">
      <w:start w:val="0"/>
      <w:numFmt w:val="bullet"/>
      <w:lvlText w:val="•"/>
      <w:lvlJc w:val="left"/>
      <w:pPr>
        <w:ind w:left="1862" w:hanging="360"/>
      </w:pPr>
      <w:rPr>
        <w:rFonts w:hint="default"/>
      </w:rPr>
    </w:lvl>
    <w:lvl w:ilvl="3">
      <w:start w:val="0"/>
      <w:numFmt w:val="bullet"/>
      <w:lvlText w:val="•"/>
      <w:lvlJc w:val="left"/>
      <w:pPr>
        <w:ind w:left="2884" w:hanging="360"/>
      </w:pPr>
      <w:rPr>
        <w:rFonts w:hint="default"/>
      </w:rPr>
    </w:lvl>
    <w:lvl w:ilvl="4">
      <w:start w:val="0"/>
      <w:numFmt w:val="bullet"/>
      <w:lvlText w:val="•"/>
      <w:lvlJc w:val="left"/>
      <w:pPr>
        <w:ind w:left="3906" w:hanging="360"/>
      </w:pPr>
      <w:rPr>
        <w:rFonts w:hint="default"/>
      </w:rPr>
    </w:lvl>
    <w:lvl w:ilvl="5">
      <w:start w:val="0"/>
      <w:numFmt w:val="bullet"/>
      <w:lvlText w:val="•"/>
      <w:lvlJc w:val="left"/>
      <w:pPr>
        <w:ind w:left="4928" w:hanging="360"/>
      </w:pPr>
      <w:rPr>
        <w:rFonts w:hint="default"/>
      </w:rPr>
    </w:lvl>
    <w:lvl w:ilvl="6">
      <w:start w:val="0"/>
      <w:numFmt w:val="bullet"/>
      <w:lvlText w:val="•"/>
      <w:lvlJc w:val="left"/>
      <w:pPr>
        <w:ind w:left="5951" w:hanging="360"/>
      </w:pPr>
      <w:rPr>
        <w:rFonts w:hint="default"/>
      </w:rPr>
    </w:lvl>
    <w:lvl w:ilvl="7">
      <w:start w:val="0"/>
      <w:numFmt w:val="bullet"/>
      <w:lvlText w:val="•"/>
      <w:lvlJc w:val="left"/>
      <w:pPr>
        <w:ind w:left="6973" w:hanging="360"/>
      </w:pPr>
      <w:rPr>
        <w:rFonts w:hint="default"/>
      </w:rPr>
    </w:lvl>
    <w:lvl w:ilvl="8">
      <w:start w:val="0"/>
      <w:numFmt w:val="bullet"/>
      <w:lvlText w:val="•"/>
      <w:lvlJc w:val="left"/>
      <w:pPr>
        <w:ind w:left="7995" w:hanging="360"/>
      </w:pPr>
      <w:rPr>
        <w:rFonts w:hint="default"/>
      </w:rPr>
    </w:lvl>
  </w:abstractNum>
  <w:abstractNum w:abstractNumId="5">
    <w:multiLevelType w:val="hybridMultilevel"/>
    <w:lvl w:ilvl="0">
      <w:start w:val="0"/>
      <w:numFmt w:val="bullet"/>
      <w:lvlText w:val="•"/>
      <w:lvlJc w:val="left"/>
      <w:pPr>
        <w:ind w:left="940" w:hanging="360"/>
      </w:pPr>
      <w:rPr>
        <w:rFonts w:hint="default" w:ascii="Calibri" w:hAnsi="Calibri" w:eastAsia="Calibri" w:cs="Calibri"/>
        <w:w w:val="100"/>
        <w:sz w:val="24"/>
        <w:szCs w:val="24"/>
      </w:rPr>
    </w:lvl>
    <w:lvl w:ilvl="1">
      <w:start w:val="0"/>
      <w:numFmt w:val="bullet"/>
      <w:lvlText w:val="•"/>
      <w:lvlJc w:val="left"/>
      <w:pPr>
        <w:ind w:left="1860" w:hanging="360"/>
      </w:pPr>
      <w:rPr>
        <w:rFonts w:hint="default"/>
      </w:rPr>
    </w:lvl>
    <w:lvl w:ilvl="2">
      <w:start w:val="0"/>
      <w:numFmt w:val="bullet"/>
      <w:lvlText w:val="•"/>
      <w:lvlJc w:val="left"/>
      <w:pPr>
        <w:ind w:left="278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4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380" w:hanging="360"/>
      </w:pPr>
      <w:rPr>
        <w:rFonts w:hint="default"/>
      </w:rPr>
    </w:lvl>
    <w:lvl w:ilvl="8">
      <w:start w:val="0"/>
      <w:numFmt w:val="bullet"/>
      <w:lvlText w:val="•"/>
      <w:lvlJc w:val="left"/>
      <w:pPr>
        <w:ind w:left="8300" w:hanging="360"/>
      </w:pPr>
      <w:rPr>
        <w:rFonts w:hint="default"/>
      </w:rPr>
    </w:lvl>
  </w:abstractNum>
  <w:abstractNum w:abstractNumId="4">
    <w:multiLevelType w:val="hybridMultilevel"/>
    <w:lvl w:ilvl="0">
      <w:start w:val="1"/>
      <w:numFmt w:val="decimal"/>
      <w:lvlText w:val="%1."/>
      <w:lvlJc w:val="left"/>
      <w:pPr>
        <w:ind w:left="456" w:hanging="237"/>
        <w:jc w:val="left"/>
      </w:pPr>
      <w:rPr>
        <w:rFonts w:hint="default" w:ascii="Calibri" w:hAnsi="Calibri" w:eastAsia="Calibri" w:cs="Calibri"/>
        <w:w w:val="100"/>
        <w:sz w:val="24"/>
        <w:szCs w:val="24"/>
      </w:rPr>
    </w:lvl>
    <w:lvl w:ilvl="1">
      <w:start w:val="0"/>
      <w:numFmt w:val="bullet"/>
      <w:lvlText w:val="●"/>
      <w:lvlJc w:val="left"/>
      <w:pPr>
        <w:ind w:left="1300" w:hanging="360"/>
      </w:pPr>
      <w:rPr>
        <w:rFonts w:hint="default" w:ascii="Arial Unicode MS" w:hAnsi="Arial Unicode MS" w:eastAsia="Arial Unicode MS" w:cs="Arial Unicode MS"/>
        <w:w w:val="100"/>
        <w:position w:val="1"/>
        <w:sz w:val="24"/>
        <w:szCs w:val="24"/>
      </w:rPr>
    </w:lvl>
    <w:lvl w:ilvl="2">
      <w:start w:val="0"/>
      <w:numFmt w:val="bullet"/>
      <w:lvlText w:val="•"/>
      <w:lvlJc w:val="left"/>
      <w:pPr>
        <w:ind w:left="2282" w:hanging="360"/>
      </w:pPr>
      <w:rPr>
        <w:rFonts w:hint="default"/>
      </w:rPr>
    </w:lvl>
    <w:lvl w:ilvl="3">
      <w:start w:val="0"/>
      <w:numFmt w:val="bullet"/>
      <w:lvlText w:val="•"/>
      <w:lvlJc w:val="left"/>
      <w:pPr>
        <w:ind w:left="3264" w:hanging="360"/>
      </w:pPr>
      <w:rPr>
        <w:rFonts w:hint="default"/>
      </w:rPr>
    </w:lvl>
    <w:lvl w:ilvl="4">
      <w:start w:val="0"/>
      <w:numFmt w:val="bullet"/>
      <w:lvlText w:val="•"/>
      <w:lvlJc w:val="left"/>
      <w:pPr>
        <w:ind w:left="4246" w:hanging="360"/>
      </w:pPr>
      <w:rPr>
        <w:rFonts w:hint="default"/>
      </w:rPr>
    </w:lvl>
    <w:lvl w:ilvl="5">
      <w:start w:val="0"/>
      <w:numFmt w:val="bullet"/>
      <w:lvlText w:val="•"/>
      <w:lvlJc w:val="left"/>
      <w:pPr>
        <w:ind w:left="5228" w:hanging="360"/>
      </w:pPr>
      <w:rPr>
        <w:rFonts w:hint="default"/>
      </w:rPr>
    </w:lvl>
    <w:lvl w:ilvl="6">
      <w:start w:val="0"/>
      <w:numFmt w:val="bullet"/>
      <w:lvlText w:val="•"/>
      <w:lvlJc w:val="left"/>
      <w:pPr>
        <w:ind w:left="6211" w:hanging="360"/>
      </w:pPr>
      <w:rPr>
        <w:rFonts w:hint="default"/>
      </w:rPr>
    </w:lvl>
    <w:lvl w:ilvl="7">
      <w:start w:val="0"/>
      <w:numFmt w:val="bullet"/>
      <w:lvlText w:val="•"/>
      <w:lvlJc w:val="left"/>
      <w:pPr>
        <w:ind w:left="7193" w:hanging="360"/>
      </w:pPr>
      <w:rPr>
        <w:rFonts w:hint="default"/>
      </w:rPr>
    </w:lvl>
    <w:lvl w:ilvl="8">
      <w:start w:val="0"/>
      <w:numFmt w:val="bullet"/>
      <w:lvlText w:val="•"/>
      <w:lvlJc w:val="left"/>
      <w:pPr>
        <w:ind w:left="8175" w:hanging="360"/>
      </w:pPr>
      <w:rPr>
        <w:rFonts w:hint="default"/>
      </w:rPr>
    </w:lvl>
  </w:abstractNum>
  <w:abstractNum w:abstractNumId="3">
    <w:multiLevelType w:val="hybridMultilevel"/>
    <w:lvl w:ilvl="0">
      <w:start w:val="1"/>
      <w:numFmt w:val="decimal"/>
      <w:lvlText w:val="%1."/>
      <w:lvlJc w:val="left"/>
      <w:pPr>
        <w:ind w:left="940" w:hanging="720"/>
        <w:jc w:val="left"/>
      </w:pPr>
      <w:rPr>
        <w:rFonts w:hint="default" w:ascii="Calibri" w:hAnsi="Calibri" w:eastAsia="Calibri" w:cs="Calibri"/>
        <w:b/>
        <w:bCs/>
        <w:w w:val="100"/>
        <w:sz w:val="24"/>
        <w:szCs w:val="24"/>
      </w:rPr>
    </w:lvl>
    <w:lvl w:ilvl="1">
      <w:start w:val="0"/>
      <w:numFmt w:val="bullet"/>
      <w:lvlText w:val=""/>
      <w:lvlJc w:val="left"/>
      <w:pPr>
        <w:ind w:left="940" w:hanging="360"/>
      </w:pPr>
      <w:rPr>
        <w:rFonts w:hint="default" w:ascii="Symbol" w:hAnsi="Symbol" w:eastAsia="Symbol" w:cs="Symbol"/>
        <w:w w:val="100"/>
        <w:sz w:val="22"/>
        <w:szCs w:val="22"/>
      </w:rPr>
    </w:lvl>
    <w:lvl w:ilvl="2">
      <w:start w:val="0"/>
      <w:numFmt w:val="bullet"/>
      <w:lvlText w:val="•"/>
      <w:lvlJc w:val="left"/>
      <w:pPr>
        <w:ind w:left="278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4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380" w:hanging="360"/>
      </w:pPr>
      <w:rPr>
        <w:rFonts w:hint="default"/>
      </w:rPr>
    </w:lvl>
    <w:lvl w:ilvl="8">
      <w:start w:val="0"/>
      <w:numFmt w:val="bullet"/>
      <w:lvlText w:val="•"/>
      <w:lvlJc w:val="left"/>
      <w:pPr>
        <w:ind w:left="8300" w:hanging="360"/>
      </w:pPr>
      <w:rPr>
        <w:rFonts w:hint="default"/>
      </w:rPr>
    </w:lvl>
  </w:abstractNum>
  <w:abstractNum w:abstractNumId="2">
    <w:multiLevelType w:val="hybridMultilevel"/>
    <w:lvl w:ilvl="0">
      <w:start w:val="0"/>
      <w:numFmt w:val="bullet"/>
      <w:lvlText w:val=""/>
      <w:lvlJc w:val="left"/>
      <w:pPr>
        <w:ind w:left="940" w:hanging="360"/>
      </w:pPr>
      <w:rPr>
        <w:rFonts w:hint="default" w:ascii="Symbol" w:hAnsi="Symbol" w:eastAsia="Symbol" w:cs="Symbol"/>
        <w:w w:val="100"/>
        <w:sz w:val="22"/>
        <w:szCs w:val="22"/>
      </w:rPr>
    </w:lvl>
    <w:lvl w:ilvl="1">
      <w:start w:val="0"/>
      <w:numFmt w:val="bullet"/>
      <w:lvlText w:val="•"/>
      <w:lvlJc w:val="left"/>
      <w:pPr>
        <w:ind w:left="1860" w:hanging="360"/>
      </w:pPr>
      <w:rPr>
        <w:rFonts w:hint="default"/>
      </w:rPr>
    </w:lvl>
    <w:lvl w:ilvl="2">
      <w:start w:val="0"/>
      <w:numFmt w:val="bullet"/>
      <w:lvlText w:val="•"/>
      <w:lvlJc w:val="left"/>
      <w:pPr>
        <w:ind w:left="2780" w:hanging="360"/>
      </w:pPr>
      <w:rPr>
        <w:rFonts w:hint="default"/>
      </w:rPr>
    </w:lvl>
    <w:lvl w:ilvl="3">
      <w:start w:val="0"/>
      <w:numFmt w:val="bullet"/>
      <w:lvlText w:val="•"/>
      <w:lvlJc w:val="left"/>
      <w:pPr>
        <w:ind w:left="3700" w:hanging="360"/>
      </w:pPr>
      <w:rPr>
        <w:rFonts w:hint="default"/>
      </w:rPr>
    </w:lvl>
    <w:lvl w:ilvl="4">
      <w:start w:val="0"/>
      <w:numFmt w:val="bullet"/>
      <w:lvlText w:val="•"/>
      <w:lvlJc w:val="left"/>
      <w:pPr>
        <w:ind w:left="4620" w:hanging="360"/>
      </w:pPr>
      <w:rPr>
        <w:rFonts w:hint="default"/>
      </w:rPr>
    </w:lvl>
    <w:lvl w:ilvl="5">
      <w:start w:val="0"/>
      <w:numFmt w:val="bullet"/>
      <w:lvlText w:val="•"/>
      <w:lvlJc w:val="left"/>
      <w:pPr>
        <w:ind w:left="5540" w:hanging="360"/>
      </w:pPr>
      <w:rPr>
        <w:rFonts w:hint="default"/>
      </w:rPr>
    </w:lvl>
    <w:lvl w:ilvl="6">
      <w:start w:val="0"/>
      <w:numFmt w:val="bullet"/>
      <w:lvlText w:val="•"/>
      <w:lvlJc w:val="left"/>
      <w:pPr>
        <w:ind w:left="6460" w:hanging="360"/>
      </w:pPr>
      <w:rPr>
        <w:rFonts w:hint="default"/>
      </w:rPr>
    </w:lvl>
    <w:lvl w:ilvl="7">
      <w:start w:val="0"/>
      <w:numFmt w:val="bullet"/>
      <w:lvlText w:val="•"/>
      <w:lvlJc w:val="left"/>
      <w:pPr>
        <w:ind w:left="7380" w:hanging="360"/>
      </w:pPr>
      <w:rPr>
        <w:rFonts w:hint="default"/>
      </w:rPr>
    </w:lvl>
    <w:lvl w:ilvl="8">
      <w:start w:val="0"/>
      <w:numFmt w:val="bullet"/>
      <w:lvlText w:val="•"/>
      <w:lvlJc w:val="left"/>
      <w:pPr>
        <w:ind w:left="8300" w:hanging="360"/>
      </w:pPr>
      <w:rPr>
        <w:rFonts w:hint="default"/>
      </w:rPr>
    </w:lvl>
  </w:abstractNum>
  <w:abstractNum w:abstractNumId="1">
    <w:multiLevelType w:val="hybridMultilevel"/>
    <w:lvl w:ilvl="0">
      <w:start w:val="0"/>
      <w:numFmt w:val="bullet"/>
      <w:lvlText w:val=""/>
      <w:lvlJc w:val="left"/>
      <w:pPr>
        <w:ind w:left="1300" w:hanging="360"/>
      </w:pPr>
      <w:rPr>
        <w:rFonts w:hint="default" w:ascii="Symbol" w:hAnsi="Symbol" w:eastAsia="Symbol" w:cs="Symbol"/>
        <w:w w:val="100"/>
        <w:sz w:val="22"/>
        <w:szCs w:val="22"/>
      </w:rPr>
    </w:lvl>
    <w:lvl w:ilvl="1">
      <w:start w:val="0"/>
      <w:numFmt w:val="bullet"/>
      <w:lvlText w:val="•"/>
      <w:lvlJc w:val="left"/>
      <w:pPr>
        <w:ind w:left="2184" w:hanging="360"/>
      </w:pPr>
      <w:rPr>
        <w:rFonts w:hint="default"/>
      </w:rPr>
    </w:lvl>
    <w:lvl w:ilvl="2">
      <w:start w:val="0"/>
      <w:numFmt w:val="bullet"/>
      <w:lvlText w:val="•"/>
      <w:lvlJc w:val="left"/>
      <w:pPr>
        <w:ind w:left="3068" w:hanging="360"/>
      </w:pPr>
      <w:rPr>
        <w:rFonts w:hint="default"/>
      </w:rPr>
    </w:lvl>
    <w:lvl w:ilvl="3">
      <w:start w:val="0"/>
      <w:numFmt w:val="bullet"/>
      <w:lvlText w:val="•"/>
      <w:lvlJc w:val="left"/>
      <w:pPr>
        <w:ind w:left="3952" w:hanging="360"/>
      </w:pPr>
      <w:rPr>
        <w:rFonts w:hint="default"/>
      </w:rPr>
    </w:lvl>
    <w:lvl w:ilvl="4">
      <w:start w:val="0"/>
      <w:numFmt w:val="bullet"/>
      <w:lvlText w:val="•"/>
      <w:lvlJc w:val="left"/>
      <w:pPr>
        <w:ind w:left="4836" w:hanging="360"/>
      </w:pPr>
      <w:rPr>
        <w:rFonts w:hint="default"/>
      </w:rPr>
    </w:lvl>
    <w:lvl w:ilvl="5">
      <w:start w:val="0"/>
      <w:numFmt w:val="bullet"/>
      <w:lvlText w:val="•"/>
      <w:lvlJc w:val="left"/>
      <w:pPr>
        <w:ind w:left="5720" w:hanging="360"/>
      </w:pPr>
      <w:rPr>
        <w:rFonts w:hint="default"/>
      </w:rPr>
    </w:lvl>
    <w:lvl w:ilvl="6">
      <w:start w:val="0"/>
      <w:numFmt w:val="bullet"/>
      <w:lvlText w:val="•"/>
      <w:lvlJc w:val="left"/>
      <w:pPr>
        <w:ind w:left="6604" w:hanging="360"/>
      </w:pPr>
      <w:rPr>
        <w:rFonts w:hint="default"/>
      </w:rPr>
    </w:lvl>
    <w:lvl w:ilvl="7">
      <w:start w:val="0"/>
      <w:numFmt w:val="bullet"/>
      <w:lvlText w:val="•"/>
      <w:lvlJc w:val="left"/>
      <w:pPr>
        <w:ind w:left="7488" w:hanging="360"/>
      </w:pPr>
      <w:rPr>
        <w:rFonts w:hint="default"/>
      </w:rPr>
    </w:lvl>
    <w:lvl w:ilvl="8">
      <w:start w:val="0"/>
      <w:numFmt w:val="bullet"/>
      <w:lvlText w:val="•"/>
      <w:lvlJc w:val="left"/>
      <w:pPr>
        <w:ind w:left="8372" w:hanging="360"/>
      </w:pPr>
      <w:rPr>
        <w:rFonts w:hint="default"/>
      </w:rPr>
    </w:lvl>
  </w:abstractNum>
  <w:abstractNum w:abstractNumId="0">
    <w:multiLevelType w:val="hybridMultilevel"/>
    <w:lvl w:ilvl="0">
      <w:start w:val="1"/>
      <w:numFmt w:val="decimal"/>
      <w:lvlText w:val="%1."/>
      <w:lvlJc w:val="left"/>
      <w:pPr>
        <w:ind w:left="1300" w:hanging="720"/>
        <w:jc w:val="right"/>
      </w:pPr>
      <w:rPr>
        <w:rFonts w:hint="default" w:ascii="Calibri" w:hAnsi="Calibri" w:eastAsia="Calibri" w:cs="Calibri"/>
        <w:b/>
        <w:bCs/>
        <w:w w:val="100"/>
        <w:sz w:val="24"/>
        <w:szCs w:val="24"/>
      </w:rPr>
    </w:lvl>
    <w:lvl w:ilvl="1">
      <w:start w:val="1"/>
      <w:numFmt w:val="lowerLetter"/>
      <w:lvlText w:val="%2."/>
      <w:lvlJc w:val="left"/>
      <w:pPr>
        <w:ind w:left="1660" w:hanging="360"/>
        <w:jc w:val="left"/>
      </w:pPr>
      <w:rPr>
        <w:rFonts w:hint="default" w:ascii="Calibri" w:hAnsi="Calibri" w:eastAsia="Calibri" w:cs="Calibri"/>
        <w:spacing w:val="-6"/>
        <w:w w:val="100"/>
        <w:sz w:val="22"/>
        <w:szCs w:val="22"/>
      </w:rPr>
    </w:lvl>
    <w:lvl w:ilvl="2">
      <w:start w:val="0"/>
      <w:numFmt w:val="bullet"/>
      <w:lvlText w:val="•"/>
      <w:lvlJc w:val="left"/>
      <w:pPr>
        <w:ind w:left="2602" w:hanging="360"/>
      </w:pPr>
      <w:rPr>
        <w:rFonts w:hint="default"/>
      </w:rPr>
    </w:lvl>
    <w:lvl w:ilvl="3">
      <w:start w:val="0"/>
      <w:numFmt w:val="bullet"/>
      <w:lvlText w:val="•"/>
      <w:lvlJc w:val="left"/>
      <w:pPr>
        <w:ind w:left="3544" w:hanging="360"/>
      </w:pPr>
      <w:rPr>
        <w:rFonts w:hint="default"/>
      </w:rPr>
    </w:lvl>
    <w:lvl w:ilvl="4">
      <w:start w:val="0"/>
      <w:numFmt w:val="bullet"/>
      <w:lvlText w:val="•"/>
      <w:lvlJc w:val="left"/>
      <w:pPr>
        <w:ind w:left="4486" w:hanging="360"/>
      </w:pPr>
      <w:rPr>
        <w:rFonts w:hint="default"/>
      </w:rPr>
    </w:lvl>
    <w:lvl w:ilvl="5">
      <w:start w:val="0"/>
      <w:numFmt w:val="bullet"/>
      <w:lvlText w:val="•"/>
      <w:lvlJc w:val="left"/>
      <w:pPr>
        <w:ind w:left="5428"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313" w:hanging="360"/>
      </w:pPr>
      <w:rPr>
        <w:rFonts w:hint="default"/>
      </w:rPr>
    </w:lvl>
    <w:lvl w:ilvl="8">
      <w:start w:val="0"/>
      <w:numFmt w:val="bullet"/>
      <w:lvlText w:val="•"/>
      <w:lvlJc w:val="left"/>
      <w:pPr>
        <w:ind w:left="8255" w:hanging="360"/>
      </w:pPr>
      <w:rPr>
        <w:rFonts w:hint="default"/>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140"/>
      <w:ind w:left="220"/>
    </w:pPr>
    <w:rPr>
      <w:rFonts w:ascii="Calibri" w:hAnsi="Calibri" w:eastAsia="Calibri" w:cs="Calibri"/>
      <w:sz w:val="22"/>
      <w:szCs w:val="22"/>
    </w:rPr>
  </w:style>
  <w:style w:styleId="TOC2" w:type="paragraph">
    <w:name w:val="TOC 2"/>
    <w:basedOn w:val="Normal"/>
    <w:uiPriority w:val="1"/>
    <w:qFormat/>
    <w:pPr>
      <w:spacing w:before="140"/>
      <w:ind w:left="440"/>
    </w:pPr>
    <w:rPr>
      <w:rFonts w:ascii="Calibri" w:hAnsi="Calibri" w:eastAsia="Calibri" w:cs="Calibri"/>
      <w:sz w:val="22"/>
      <w:szCs w:val="22"/>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220"/>
      <w:outlineLvl w:val="1"/>
    </w:pPr>
    <w:rPr>
      <w:rFonts w:ascii="Calibri" w:hAnsi="Calibri" w:eastAsia="Calibri" w:cs="Calibri"/>
      <w:b/>
      <w:bCs/>
      <w:sz w:val="32"/>
      <w:szCs w:val="32"/>
    </w:rPr>
  </w:style>
  <w:style w:styleId="Heading2" w:type="paragraph">
    <w:name w:val="Heading 2"/>
    <w:basedOn w:val="Normal"/>
    <w:uiPriority w:val="1"/>
    <w:qFormat/>
    <w:pPr>
      <w:spacing w:before="6"/>
      <w:ind w:left="535" w:right="874"/>
      <w:jc w:val="center"/>
      <w:outlineLvl w:val="2"/>
    </w:pPr>
    <w:rPr>
      <w:rFonts w:ascii="Calibri" w:hAnsi="Calibri" w:eastAsia="Calibri" w:cs="Calibri"/>
      <w:sz w:val="32"/>
      <w:szCs w:val="32"/>
    </w:rPr>
  </w:style>
  <w:style w:styleId="Heading3" w:type="paragraph">
    <w:name w:val="Heading 3"/>
    <w:basedOn w:val="Normal"/>
    <w:uiPriority w:val="1"/>
    <w:qFormat/>
    <w:pPr>
      <w:spacing w:before="137"/>
      <w:ind w:left="201"/>
      <w:outlineLvl w:val="3"/>
    </w:pPr>
    <w:rPr>
      <w:rFonts w:ascii="Calibri" w:hAnsi="Calibri" w:eastAsia="Calibri" w:cs="Calibri"/>
      <w:b/>
      <w:bCs/>
      <w:sz w:val="28"/>
      <w:szCs w:val="28"/>
    </w:rPr>
  </w:style>
  <w:style w:styleId="Heading4" w:type="paragraph">
    <w:name w:val="Heading 4"/>
    <w:basedOn w:val="Normal"/>
    <w:uiPriority w:val="1"/>
    <w:qFormat/>
    <w:pPr>
      <w:ind w:left="220"/>
      <w:outlineLvl w:val="4"/>
    </w:pPr>
    <w:rPr>
      <w:rFonts w:ascii="Calibri" w:hAnsi="Calibri" w:eastAsia="Calibri" w:cs="Calibri"/>
      <w:b/>
      <w:bCs/>
      <w:sz w:val="24"/>
      <w:szCs w:val="24"/>
    </w:rPr>
  </w:style>
  <w:style w:styleId="Heading5" w:type="paragraph">
    <w:name w:val="Heading 5"/>
    <w:basedOn w:val="Normal"/>
    <w:uiPriority w:val="1"/>
    <w:qFormat/>
    <w:pPr>
      <w:ind w:left="940" w:hanging="360"/>
      <w:outlineLvl w:val="5"/>
    </w:pPr>
    <w:rPr>
      <w:rFonts w:ascii="Calibri" w:hAnsi="Calibri" w:eastAsia="Calibri" w:cs="Calibri"/>
      <w:sz w:val="24"/>
      <w:szCs w:val="24"/>
    </w:rPr>
  </w:style>
  <w:style w:styleId="Heading6" w:type="paragraph">
    <w:name w:val="Heading 6"/>
    <w:basedOn w:val="Normal"/>
    <w:uiPriority w:val="1"/>
    <w:qFormat/>
    <w:pPr>
      <w:ind w:left="580"/>
      <w:outlineLvl w:val="6"/>
    </w:pPr>
    <w:rPr>
      <w:rFonts w:ascii="Calibri" w:hAnsi="Calibri" w:eastAsia="Calibri" w:cs="Calibri"/>
      <w:b/>
      <w:bCs/>
      <w:sz w:val="22"/>
      <w:szCs w:val="22"/>
    </w:rPr>
  </w:style>
  <w:style w:styleId="ListParagraph" w:type="paragraph">
    <w:name w:val="List Paragraph"/>
    <w:basedOn w:val="Normal"/>
    <w:uiPriority w:val="1"/>
    <w:qFormat/>
    <w:pPr>
      <w:ind w:left="940" w:hanging="360"/>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bloomington.in.gov/departments/hand"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37" Type="http://schemas.openxmlformats.org/officeDocument/2006/relationships/header" Target="header14.xml"/><Relationship Id="rId38" Type="http://schemas.openxmlformats.org/officeDocument/2006/relationships/footer" Target="footer14.xml"/><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 Id="rId47" Type="http://schemas.openxmlformats.org/officeDocument/2006/relationships/header" Target="header19.xml"/><Relationship Id="rId48" Type="http://schemas.openxmlformats.org/officeDocument/2006/relationships/footer" Target="footer19.xml"/><Relationship Id="rId49" Type="http://schemas.openxmlformats.org/officeDocument/2006/relationships/header" Target="header20.xml"/><Relationship Id="rId50" Type="http://schemas.openxmlformats.org/officeDocument/2006/relationships/footer" Target="footer20.xml"/><Relationship Id="rId51" Type="http://schemas.openxmlformats.org/officeDocument/2006/relationships/header" Target="header21.xml"/><Relationship Id="rId52" Type="http://schemas.openxmlformats.org/officeDocument/2006/relationships/footer" Target="footer21.xml"/><Relationship Id="rId53" Type="http://schemas.openxmlformats.org/officeDocument/2006/relationships/header" Target="header22.xml"/><Relationship Id="rId54" Type="http://schemas.openxmlformats.org/officeDocument/2006/relationships/footer" Target="footer22.xml"/><Relationship Id="rId55" Type="http://schemas.openxmlformats.org/officeDocument/2006/relationships/header" Target="header23.xml"/><Relationship Id="rId56" Type="http://schemas.openxmlformats.org/officeDocument/2006/relationships/footer" Target="footer23.xml"/><Relationship Id="rId57" Type="http://schemas.openxmlformats.org/officeDocument/2006/relationships/header" Target="header24.xml"/><Relationship Id="rId58" Type="http://schemas.openxmlformats.org/officeDocument/2006/relationships/footer" Target="footer24.xml"/><Relationship Id="rId59" Type="http://schemas.openxmlformats.org/officeDocument/2006/relationships/header" Target="header25.xml"/><Relationship Id="rId60" Type="http://schemas.openxmlformats.org/officeDocument/2006/relationships/footer" Target="footer25.xml"/><Relationship Id="rId61" Type="http://schemas.openxmlformats.org/officeDocument/2006/relationships/header" Target="header26.xml"/><Relationship Id="rId62" Type="http://schemas.openxmlformats.org/officeDocument/2006/relationships/footer" Target="footer26.xml"/><Relationship Id="rId63" Type="http://schemas.openxmlformats.org/officeDocument/2006/relationships/header" Target="header27.xml"/><Relationship Id="rId64" Type="http://schemas.openxmlformats.org/officeDocument/2006/relationships/footer" Target="footer27.xm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header" Target="header29.xml"/><Relationship Id="rId68" Type="http://schemas.openxmlformats.org/officeDocument/2006/relationships/footer" Target="foot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header" Target="header33.xml"/><Relationship Id="rId76" Type="http://schemas.openxmlformats.org/officeDocument/2006/relationships/footer" Target="footer33.xml"/><Relationship Id="rId77" Type="http://schemas.openxmlformats.org/officeDocument/2006/relationships/header" Target="header34.xml"/><Relationship Id="rId78" Type="http://schemas.openxmlformats.org/officeDocument/2006/relationships/footer" Target="footer34.xml"/><Relationship Id="rId79" Type="http://schemas.openxmlformats.org/officeDocument/2006/relationships/header" Target="header35.xml"/><Relationship Id="rId80" Type="http://schemas.openxmlformats.org/officeDocument/2006/relationships/footer" Target="footer35.xml"/><Relationship Id="rId81" Type="http://schemas.openxmlformats.org/officeDocument/2006/relationships/header" Target="header36.xml"/><Relationship Id="rId82" Type="http://schemas.openxmlformats.org/officeDocument/2006/relationships/footer" Target="footer36.xml"/><Relationship Id="rId83" Type="http://schemas.openxmlformats.org/officeDocument/2006/relationships/header" Target="header37.xml"/><Relationship Id="rId84" Type="http://schemas.openxmlformats.org/officeDocument/2006/relationships/footer" Target="footer37.xml"/><Relationship Id="rId85" Type="http://schemas.openxmlformats.org/officeDocument/2006/relationships/header" Target="header38.xml"/><Relationship Id="rId86" Type="http://schemas.openxmlformats.org/officeDocument/2006/relationships/footer" Target="footer38.xml"/><Relationship Id="rId87" Type="http://schemas.openxmlformats.org/officeDocument/2006/relationships/header" Target="header39.xml"/><Relationship Id="rId88" Type="http://schemas.openxmlformats.org/officeDocument/2006/relationships/footer" Target="footer39.xml"/><Relationship Id="rId89" Type="http://schemas.openxmlformats.org/officeDocument/2006/relationships/header" Target="header40.xml"/><Relationship Id="rId90" Type="http://schemas.openxmlformats.org/officeDocument/2006/relationships/footer" Target="footer40.xml"/><Relationship Id="rId91" Type="http://schemas.openxmlformats.org/officeDocument/2006/relationships/header" Target="header41.xml"/><Relationship Id="rId92" Type="http://schemas.openxmlformats.org/officeDocument/2006/relationships/footer" Target="footer41.xml"/><Relationship Id="rId93" Type="http://schemas.openxmlformats.org/officeDocument/2006/relationships/header" Target="header42.xml"/><Relationship Id="rId94" Type="http://schemas.openxmlformats.org/officeDocument/2006/relationships/footer" Target="footer42.xml"/><Relationship Id="rId95" Type="http://schemas.openxmlformats.org/officeDocument/2006/relationships/header" Target="header43.xml"/><Relationship Id="rId96" Type="http://schemas.openxmlformats.org/officeDocument/2006/relationships/footer" Target="footer43.xml"/><Relationship Id="rId97" Type="http://schemas.openxmlformats.org/officeDocument/2006/relationships/header" Target="header44.xml"/><Relationship Id="rId98" Type="http://schemas.openxmlformats.org/officeDocument/2006/relationships/footer" Target="footer44.xml"/><Relationship Id="rId99" Type="http://schemas.openxmlformats.org/officeDocument/2006/relationships/header" Target="header45.xml"/><Relationship Id="rId100" Type="http://schemas.openxmlformats.org/officeDocument/2006/relationships/footer" Target="footer45.xml"/><Relationship Id="rId101" Type="http://schemas.openxmlformats.org/officeDocument/2006/relationships/header" Target="header46.xml"/><Relationship Id="rId102" Type="http://schemas.openxmlformats.org/officeDocument/2006/relationships/footer" Target="footer46.xml"/><Relationship Id="rId103" Type="http://schemas.openxmlformats.org/officeDocument/2006/relationships/header" Target="header47.xml"/><Relationship Id="rId104" Type="http://schemas.openxmlformats.org/officeDocument/2006/relationships/footer" Target="footer47.xml"/><Relationship Id="rId105" Type="http://schemas.openxmlformats.org/officeDocument/2006/relationships/header" Target="header48.xml"/><Relationship Id="rId106" Type="http://schemas.openxmlformats.org/officeDocument/2006/relationships/footer" Target="footer48.xml"/><Relationship Id="rId107" Type="http://schemas.openxmlformats.org/officeDocument/2006/relationships/header" Target="header49.xml"/><Relationship Id="rId108" Type="http://schemas.openxmlformats.org/officeDocument/2006/relationships/footer" Target="footer49.xml"/><Relationship Id="rId109" Type="http://schemas.openxmlformats.org/officeDocument/2006/relationships/header" Target="header50.xml"/><Relationship Id="rId110" Type="http://schemas.openxmlformats.org/officeDocument/2006/relationships/footer" Target="footer50.xml"/><Relationship Id="rId111" Type="http://schemas.openxmlformats.org/officeDocument/2006/relationships/header" Target="header51.xml"/><Relationship Id="rId112" Type="http://schemas.openxmlformats.org/officeDocument/2006/relationships/footer" Target="footer51.xml"/><Relationship Id="rId113" Type="http://schemas.openxmlformats.org/officeDocument/2006/relationships/header" Target="header52.xml"/><Relationship Id="rId114" Type="http://schemas.openxmlformats.org/officeDocument/2006/relationships/footer" Target="footer52.xml"/><Relationship Id="rId115" Type="http://schemas.openxmlformats.org/officeDocument/2006/relationships/header" Target="header53.xml"/><Relationship Id="rId116" Type="http://schemas.openxmlformats.org/officeDocument/2006/relationships/footer" Target="footer53.xml"/><Relationship Id="rId117" Type="http://schemas.openxmlformats.org/officeDocument/2006/relationships/header" Target="header54.xml"/><Relationship Id="rId118" Type="http://schemas.openxmlformats.org/officeDocument/2006/relationships/footer" Target="footer54.xml"/><Relationship Id="rId119" Type="http://schemas.openxmlformats.org/officeDocument/2006/relationships/header" Target="header55.xml"/><Relationship Id="rId120" Type="http://schemas.openxmlformats.org/officeDocument/2006/relationships/footer" Target="footer55.xml"/><Relationship Id="rId121" Type="http://schemas.openxmlformats.org/officeDocument/2006/relationships/header" Target="header56.xml"/><Relationship Id="rId122" Type="http://schemas.openxmlformats.org/officeDocument/2006/relationships/footer" Target="footer56.xml"/><Relationship Id="rId123" Type="http://schemas.openxmlformats.org/officeDocument/2006/relationships/header" Target="header57.xml"/><Relationship Id="rId124" Type="http://schemas.openxmlformats.org/officeDocument/2006/relationships/footer" Target="footer57.xml"/><Relationship Id="rId125" Type="http://schemas.openxmlformats.org/officeDocument/2006/relationships/header" Target="header58.xml"/><Relationship Id="rId126" Type="http://schemas.openxmlformats.org/officeDocument/2006/relationships/footer" Target="footer58.xml"/><Relationship Id="rId127" Type="http://schemas.openxmlformats.org/officeDocument/2006/relationships/header" Target="header59.xml"/><Relationship Id="rId128" Type="http://schemas.openxmlformats.org/officeDocument/2006/relationships/footer" Target="footer59.xml"/><Relationship Id="rId129" Type="http://schemas.openxmlformats.org/officeDocument/2006/relationships/header" Target="header60.xml"/><Relationship Id="rId130" Type="http://schemas.openxmlformats.org/officeDocument/2006/relationships/footer" Target="footer60.xml"/><Relationship Id="rId131" Type="http://schemas.openxmlformats.org/officeDocument/2006/relationships/header" Target="header61.xml"/><Relationship Id="rId132" Type="http://schemas.openxmlformats.org/officeDocument/2006/relationships/footer" Target="footer61.xml"/><Relationship Id="rId133" Type="http://schemas.openxmlformats.org/officeDocument/2006/relationships/header" Target="header62.xml"/><Relationship Id="rId134" Type="http://schemas.openxmlformats.org/officeDocument/2006/relationships/footer" Target="footer62.xml"/><Relationship Id="rId135" Type="http://schemas.openxmlformats.org/officeDocument/2006/relationships/header" Target="header63.xml"/><Relationship Id="rId136" Type="http://schemas.openxmlformats.org/officeDocument/2006/relationships/footer" Target="footer63.xml"/><Relationship Id="rId137" Type="http://schemas.openxmlformats.org/officeDocument/2006/relationships/header" Target="header64.xml"/><Relationship Id="rId138" Type="http://schemas.openxmlformats.org/officeDocument/2006/relationships/footer" Target="footer64.xml"/><Relationship Id="rId139" Type="http://schemas.openxmlformats.org/officeDocument/2006/relationships/header" Target="header65.xml"/><Relationship Id="rId140" Type="http://schemas.openxmlformats.org/officeDocument/2006/relationships/footer" Target="footer65.xml"/><Relationship Id="rId141" Type="http://schemas.openxmlformats.org/officeDocument/2006/relationships/header" Target="header66.xml"/><Relationship Id="rId142" Type="http://schemas.openxmlformats.org/officeDocument/2006/relationships/footer" Target="footer66.xml"/><Relationship Id="rId143" Type="http://schemas.openxmlformats.org/officeDocument/2006/relationships/header" Target="header67.xml"/><Relationship Id="rId144" Type="http://schemas.openxmlformats.org/officeDocument/2006/relationships/footer" Target="footer67.xml"/><Relationship Id="rId145" Type="http://schemas.openxmlformats.org/officeDocument/2006/relationships/header" Target="header68.xml"/><Relationship Id="rId146" Type="http://schemas.openxmlformats.org/officeDocument/2006/relationships/footer" Target="footer68.xml"/><Relationship Id="rId147" Type="http://schemas.openxmlformats.org/officeDocument/2006/relationships/header" Target="header69.xml"/><Relationship Id="rId148" Type="http://schemas.openxmlformats.org/officeDocument/2006/relationships/footer" Target="footer69.xml"/><Relationship Id="rId149" Type="http://schemas.openxmlformats.org/officeDocument/2006/relationships/header" Target="header70.xml"/><Relationship Id="rId150" Type="http://schemas.openxmlformats.org/officeDocument/2006/relationships/footer" Target="footer70.xml"/><Relationship Id="rId151" Type="http://schemas.openxmlformats.org/officeDocument/2006/relationships/header" Target="header71.xml"/><Relationship Id="rId152" Type="http://schemas.openxmlformats.org/officeDocument/2006/relationships/footer" Target="footer71.xml"/><Relationship Id="rId153" Type="http://schemas.openxmlformats.org/officeDocument/2006/relationships/header" Target="header72.xml"/><Relationship Id="rId154" Type="http://schemas.openxmlformats.org/officeDocument/2006/relationships/footer" Target="footer72.xml"/><Relationship Id="rId155" Type="http://schemas.openxmlformats.org/officeDocument/2006/relationships/header" Target="header73.xml"/><Relationship Id="rId156" Type="http://schemas.openxmlformats.org/officeDocument/2006/relationships/footer" Target="footer73.xml"/><Relationship Id="rId157" Type="http://schemas.openxmlformats.org/officeDocument/2006/relationships/header" Target="header74.xml"/><Relationship Id="rId158" Type="http://schemas.openxmlformats.org/officeDocument/2006/relationships/footer" Target="footer74.xml"/><Relationship Id="rId159" Type="http://schemas.openxmlformats.org/officeDocument/2006/relationships/header" Target="header75.xml"/><Relationship Id="rId160" Type="http://schemas.openxmlformats.org/officeDocument/2006/relationships/footer" Target="footer75.xml"/><Relationship Id="rId161" Type="http://schemas.openxmlformats.org/officeDocument/2006/relationships/header" Target="header76.xml"/><Relationship Id="rId162" Type="http://schemas.openxmlformats.org/officeDocument/2006/relationships/footer" Target="footer76.xml"/><Relationship Id="rId163" Type="http://schemas.openxmlformats.org/officeDocument/2006/relationships/header" Target="header77.xml"/><Relationship Id="rId164" Type="http://schemas.openxmlformats.org/officeDocument/2006/relationships/footer" Target="footer77.xml"/><Relationship Id="rId165" Type="http://schemas.openxmlformats.org/officeDocument/2006/relationships/header" Target="header78.xml"/><Relationship Id="rId166" Type="http://schemas.openxmlformats.org/officeDocument/2006/relationships/footer" Target="footer78.xml"/><Relationship Id="rId167" Type="http://schemas.openxmlformats.org/officeDocument/2006/relationships/header" Target="header79.xml"/><Relationship Id="rId168" Type="http://schemas.openxmlformats.org/officeDocument/2006/relationships/footer" Target="footer79.xml"/><Relationship Id="rId169" Type="http://schemas.openxmlformats.org/officeDocument/2006/relationships/header" Target="header80.xml"/><Relationship Id="rId170" Type="http://schemas.openxmlformats.org/officeDocument/2006/relationships/footer" Target="footer80.xml"/><Relationship Id="rId171" Type="http://schemas.openxmlformats.org/officeDocument/2006/relationships/header" Target="header81.xml"/><Relationship Id="rId172" Type="http://schemas.openxmlformats.org/officeDocument/2006/relationships/footer" Target="footer81.xml"/><Relationship Id="rId173" Type="http://schemas.openxmlformats.org/officeDocument/2006/relationships/header" Target="header82.xml"/><Relationship Id="rId174" Type="http://schemas.openxmlformats.org/officeDocument/2006/relationships/footer" Target="footer82.xml"/><Relationship Id="rId175" Type="http://schemas.openxmlformats.org/officeDocument/2006/relationships/header" Target="header83.xml"/><Relationship Id="rId176" Type="http://schemas.openxmlformats.org/officeDocument/2006/relationships/footer" Target="footer83.xml"/><Relationship Id="rId177" Type="http://schemas.openxmlformats.org/officeDocument/2006/relationships/header" Target="header84.xml"/><Relationship Id="rId178" Type="http://schemas.openxmlformats.org/officeDocument/2006/relationships/footer" Target="footer84.xml"/><Relationship Id="rId179" Type="http://schemas.openxmlformats.org/officeDocument/2006/relationships/header" Target="header85.xml"/><Relationship Id="rId180" Type="http://schemas.openxmlformats.org/officeDocument/2006/relationships/footer" Target="footer85.xml"/><Relationship Id="rId181" Type="http://schemas.openxmlformats.org/officeDocument/2006/relationships/header" Target="header86.xml"/><Relationship Id="rId182" Type="http://schemas.openxmlformats.org/officeDocument/2006/relationships/footer" Target="footer86.xml"/><Relationship Id="rId183" Type="http://schemas.openxmlformats.org/officeDocument/2006/relationships/header" Target="header87.xml"/><Relationship Id="rId184" Type="http://schemas.openxmlformats.org/officeDocument/2006/relationships/footer" Target="footer87.xml"/><Relationship Id="rId185" Type="http://schemas.openxmlformats.org/officeDocument/2006/relationships/header" Target="header88.xml"/><Relationship Id="rId186" Type="http://schemas.openxmlformats.org/officeDocument/2006/relationships/footer" Target="footer88.xml"/><Relationship Id="rId187" Type="http://schemas.openxmlformats.org/officeDocument/2006/relationships/header" Target="header89.xml"/><Relationship Id="rId188" Type="http://schemas.openxmlformats.org/officeDocument/2006/relationships/footer" Target="footer89.xml"/><Relationship Id="rId189" Type="http://schemas.openxmlformats.org/officeDocument/2006/relationships/header" Target="header90.xml"/><Relationship Id="rId190" Type="http://schemas.openxmlformats.org/officeDocument/2006/relationships/footer" Target="footer90.xml"/><Relationship Id="rId191" Type="http://schemas.openxmlformats.org/officeDocument/2006/relationships/header" Target="header91.xml"/><Relationship Id="rId192" Type="http://schemas.openxmlformats.org/officeDocument/2006/relationships/footer" Target="footer91.xml"/><Relationship Id="rId193" Type="http://schemas.openxmlformats.org/officeDocument/2006/relationships/header" Target="header92.xml"/><Relationship Id="rId194" Type="http://schemas.openxmlformats.org/officeDocument/2006/relationships/footer" Target="footer92.xml"/><Relationship Id="rId195" Type="http://schemas.openxmlformats.org/officeDocument/2006/relationships/header" Target="header93.xml"/><Relationship Id="rId196" Type="http://schemas.openxmlformats.org/officeDocument/2006/relationships/footer" Target="footer93.xml"/><Relationship Id="rId197" Type="http://schemas.openxmlformats.org/officeDocument/2006/relationships/header" Target="header94.xml"/><Relationship Id="rId198" Type="http://schemas.openxmlformats.org/officeDocument/2006/relationships/footer" Target="footer94.xml"/><Relationship Id="rId199" Type="http://schemas.openxmlformats.org/officeDocument/2006/relationships/header" Target="header95.xml"/><Relationship Id="rId200" Type="http://schemas.openxmlformats.org/officeDocument/2006/relationships/footer" Target="footer95.xml"/><Relationship Id="rId201" Type="http://schemas.openxmlformats.org/officeDocument/2006/relationships/header" Target="header96.xml"/><Relationship Id="rId202" Type="http://schemas.openxmlformats.org/officeDocument/2006/relationships/footer" Target="footer96.xml"/><Relationship Id="rId203" Type="http://schemas.openxmlformats.org/officeDocument/2006/relationships/header" Target="header97.xml"/><Relationship Id="rId204" Type="http://schemas.openxmlformats.org/officeDocument/2006/relationships/footer" Target="footer97.xml"/><Relationship Id="rId205" Type="http://schemas.openxmlformats.org/officeDocument/2006/relationships/header" Target="header98.xml"/><Relationship Id="rId206" Type="http://schemas.openxmlformats.org/officeDocument/2006/relationships/footer" Target="footer98.xml"/><Relationship Id="rId207" Type="http://schemas.openxmlformats.org/officeDocument/2006/relationships/header" Target="header99.xml"/><Relationship Id="rId208" Type="http://schemas.openxmlformats.org/officeDocument/2006/relationships/footer" Target="footer99.xml"/><Relationship Id="rId209" Type="http://schemas.openxmlformats.org/officeDocument/2006/relationships/header" Target="header100.xml"/><Relationship Id="rId210" Type="http://schemas.openxmlformats.org/officeDocument/2006/relationships/footer" Target="footer100.xml"/><Relationship Id="rId211" Type="http://schemas.openxmlformats.org/officeDocument/2006/relationships/header" Target="header101.xml"/><Relationship Id="rId212" Type="http://schemas.openxmlformats.org/officeDocument/2006/relationships/footer" Target="footer101.xml"/><Relationship Id="rId213" Type="http://schemas.openxmlformats.org/officeDocument/2006/relationships/header" Target="header102.xml"/><Relationship Id="rId214" Type="http://schemas.openxmlformats.org/officeDocument/2006/relationships/footer" Target="footer102.xml"/><Relationship Id="rId215" Type="http://schemas.openxmlformats.org/officeDocument/2006/relationships/header" Target="header103.xml"/><Relationship Id="rId216" Type="http://schemas.openxmlformats.org/officeDocument/2006/relationships/footer" Target="footer103.xml"/><Relationship Id="rId217" Type="http://schemas.openxmlformats.org/officeDocument/2006/relationships/header" Target="header104.xml"/><Relationship Id="rId218" Type="http://schemas.openxmlformats.org/officeDocument/2006/relationships/footer" Target="footer104.xml"/><Relationship Id="rId2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2025-05-21T18:12:06Z</dcterms:created>
  <dcterms:modified xsi:type="dcterms:W3CDTF">2025-05-21T18:12:06Z</dcterms:modified>
</cp:coreProperties>
</file>